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START HERE</w:t>
      </w:r>
    </w:p>
    <w:p>
      <w:pPr>
        <w:pStyle w:val="Title"/>
      </w:pPr>
      <w:r>
        <w:t>Planning a Spanish and English evaluation</w:t>
      </w:r>
    </w:p>
    <w:p>
      <w:r>
        <w:rPr>
          <w:sz w:val="22"/>
        </w:rPr>
        <w:t>A practical route from referral to follow up</w:t>
      </w:r>
    </w:p>
    <w:p>
      <w:r>
        <w:t>Leave planning with one answerable question, an accessible task, and a follow-up decision.</w:t>
      </w:r>
    </w:p>
    <w:p>
      <w:r>
        <w:drawing>
          <wp:inline xmlns:a="http://schemas.openxmlformats.org/drawingml/2006/main" xmlns:pic="http://schemas.openxmlformats.org/drawingml/2006/picture">
            <wp:extent cx="6217920" cy="1374851"/>
            <wp:docPr id="1" name="Picture 1" descr="Clinical workflow. Prepare: Review the referral and language history. Ask the family and teacher for one concrete example each.; Plan your time: Allow about 5–10 minutes to complete the planning sheet once background information is available. This editorial estimate is not an evaluation duration."/>
            <wp:cNvGraphicFramePr>
              <a:graphicFrameLocks noChangeAspect="1"/>
            </wp:cNvGraphicFramePr>
            <a:graphic>
              <a:graphicData uri="http://schemas.openxmlformats.org/drawingml/2006/picture">
                <pic:pic>
                  <pic:nvPicPr>
                    <pic:cNvPr id="0" name="02_visual_1.png"/>
                    <pic:cNvPicPr/>
                  </pic:nvPicPr>
                  <pic:blipFill>
                    <a:blip r:embed="rId11"/>
                    <a:stretch>
                      <a:fillRect/>
                    </a:stretch>
                  </pic:blipFill>
                  <pic:spPr>
                    <a:xfrm>
                      <a:off x="0" y="0"/>
                      <a:ext cx="6217920" cy="1374851"/>
                    </a:xfrm>
                    <a:prstGeom prst="rect"/>
                  </pic:spPr>
                </pic:pic>
              </a:graphicData>
            </a:graphic>
          </wp:inline>
        </w:drawing>
      </w:r>
    </w:p>
    <w:p>
      <w:r/>
      <w:r>
        <w:rPr>
          <w:b/>
        </w:rPr>
        <w:t>Have ready</w:t>
      </w:r>
      <w:r>
        <w:br/>
        <w:t>Referral, language and schooling history, family priority, access information, and the planning sheet.</w:t>
      </w:r>
    </w:p>
    <w:p>
      <w:r/>
      <w:r>
        <w:rPr>
          <w:b/>
        </w:rPr>
        <w:t>Use one focused route</w:t>
      </w:r>
      <w:r>
        <w:br/>
        <w:t>Choose the closest case → plan one observation → identify what would change the next step. Read the other cases later.</w:t>
      </w:r>
    </w:p>
    <w:p>
      <w:r/>
      <w:r>
        <w:rPr>
          <w:b/>
        </w:rPr>
        <w:t>Record enough to decide</w:t>
      </w:r>
      <w:r>
        <w:br/>
        <w:t>Task, languages and communication modes, supports, exact concern, missing evidence, and who will obtain it by when.</w:t>
      </w:r>
    </w:p>
    <w:p>
      <w:pPr>
        <w:pStyle w:val="Heading3"/>
      </w:pPr>
      <w:r>
        <w:t>Evidence behind the practice</w:t>
      </w:r>
    </w:p>
    <w:p>
      <w:r>
        <w:t>ASHA provides professional guidance; IDEA establishes US school evaluation requirements. This decision map is an original synthesis, not a validated algorithm. [1–3, 7]</w:t>
      </w:r>
    </w:p>
    <w:p>
      <w:r/>
      <w:r>
        <w:rPr>
          <w:b/>
        </w:rPr>
        <w:t>Interpretation limit</w:t>
      </w:r>
      <w:r>
        <w:br/>
        <w:t>Begin needed language and access supports while completing a timely evaluation. Do not postpone evaluation simply to wait for more English exposure.</w:t>
      </w:r>
    </w:p>
    <w:p>
      <w:r>
        <w:br w:type="page"/>
      </w:r>
    </w:p>
    <w:p>
      <w:r>
        <w:rPr>
          <w:sz w:val="18"/>
        </w:rPr>
        <w:t>02  START HERE</w:t>
      </w:r>
    </w:p>
    <w:p>
      <w:pPr>
        <w:pStyle w:val="Heading1"/>
      </w:pPr>
      <w:r>
        <w:t>Make the next session answer a question</w:t>
      </w:r>
    </w:p>
    <w:p>
      <w:r>
        <w:t>Write the communication problem as an activity: “Explain a playground disagreement,” rather than “Obtain a language score.”</w:t>
      </w:r>
    </w:p>
    <w:p>
      <w:r>
        <w:drawing>
          <wp:inline xmlns:a="http://schemas.openxmlformats.org/drawingml/2006/main" xmlns:pic="http://schemas.openxmlformats.org/drawingml/2006/picture">
            <wp:extent cx="6217920" cy="1931009"/>
            <wp:docPr id="2" name="Picture 2" descr="Follow the evidence. Describe: What happens, where, with whom?; Check access: Hearing, vision, motor, language, AAC; Choose methods: History + samples + targeted evidence; Integrate: Strengths, concerns, fit, uncertainty; Act: Answer the question or collect the missing piece"/>
            <wp:cNvGraphicFramePr>
              <a:graphicFrameLocks noChangeAspect="1"/>
            </wp:cNvGraphicFramePr>
            <a:graphic>
              <a:graphicData uri="http://schemas.openxmlformats.org/drawingml/2006/picture">
                <pic:pic>
                  <pic:nvPicPr>
                    <pic:cNvPr id="0" name="02_visual_2.png"/>
                    <pic:cNvPicPr/>
                  </pic:nvPicPr>
                  <pic:blipFill>
                    <a:blip r:embed="rId12"/>
                    <a:stretch>
                      <a:fillRect/>
                    </a:stretch>
                  </pic:blipFill>
                  <pic:spPr>
                    <a:xfrm>
                      <a:off x="0" y="0"/>
                      <a:ext cx="6217920" cy="1931009"/>
                    </a:xfrm>
                    <a:prstGeom prst="rect"/>
                  </pic:spPr>
                </pic:pic>
              </a:graphicData>
            </a:graphic>
          </wp:inline>
        </w:drawing>
      </w:r>
    </w:p>
    <w:p>
      <w:r/>
      <w:r>
        <w:rPr>
          <w:b/>
        </w:rPr>
        <w:t>Ask the caregiver:</w:t>
      </w:r>
      <w:r>
        <w:t xml:space="preserve"> ¿Cuándo se le hace fácil comunicarse? Cuénteme qué pasó la última vez que necesitó ayuda para expresarse.</w:t>
      </w:r>
    </w:p>
    <w:p>
      <w:pPr>
        <w:ind w:left="360"/>
      </w:pPr>
      <w:r>
        <w:rPr>
          <w:sz w:val="18"/>
        </w:rPr>
        <w:t>Get an example, not only a concern label.</w:t>
      </w:r>
    </w:p>
    <w:p>
      <w:r/>
      <w:r>
        <w:rPr>
          <w:b/>
        </w:rPr>
        <w:t>Ask the teacher:</w:t>
      </w:r>
      <w:r>
        <w:t xml:space="preserve"> What was the task, what did the child communicate, and what changed after support?</w:t>
      </w:r>
    </w:p>
    <w:p>
      <w:pPr>
        <w:ind w:left="360"/>
      </w:pPr>
      <w:r>
        <w:rPr>
          <w:sz w:val="18"/>
        </w:rPr>
        <w:t>Separate task demands from assumptions about ability.</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184"/>
        <w:gridCol w:w="5184"/>
      </w:tblGrid>
      <w:tr>
        <w:trPr>
          <w:cantSplit/>
          <w:tblHeader/>
        </w:trPr>
        <w:tc>
          <w:tcPr>
            <w:tcW w:type="dxa" w:w="5184"/>
            <w:shd w:fill="16796F"/>
            <w:tcMar>
              <w:top w:w="100" w:type="dxa"/>
              <w:bottom w:w="100" w:type="dxa"/>
              <w:left w:w="100" w:type="dxa"/>
              <w:right w:w="100" w:type="dxa"/>
            </w:tcMar>
          </w:tcPr>
          <w:p>
            <w:pPr>
              <w:spacing w:after="20" w:before="20" w:line="247" w:lineRule="auto"/>
            </w:pPr>
            <w:r>
              <w:rPr>
                <w:b/>
                <w:color w:val="FFFFFF"/>
                <w:sz w:val="18"/>
              </w:rPr>
              <w:t>Concern</w:t>
            </w:r>
          </w:p>
        </w:tc>
        <w:tc>
          <w:tcPr>
            <w:tcW w:type="dxa" w:w="5184"/>
            <w:shd w:fill="16796F"/>
            <w:tcMar>
              <w:top w:w="100" w:type="dxa"/>
              <w:bottom w:w="100" w:type="dxa"/>
              <w:left w:w="100" w:type="dxa"/>
              <w:right w:w="100" w:type="dxa"/>
            </w:tcMar>
          </w:tcPr>
          <w:p>
            <w:pPr>
              <w:spacing w:after="20" w:before="20" w:line="247" w:lineRule="auto"/>
            </w:pPr>
            <w:r>
              <w:rPr>
                <w:b/>
                <w:color w:val="FFFFFF"/>
                <w:sz w:val="18"/>
              </w:rPr>
              <w:t>Useful starting evidence</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Speech clarity</w:t>
            </w:r>
          </w:p>
        </w:tc>
        <w:tc>
          <w:tcPr>
            <w:tcW w:type="dxa" w:w="5184"/>
            <w:shd w:fill="FFFFFF"/>
            <w:tcMar>
              <w:top w:w="100" w:type="dxa"/>
              <w:bottom w:w="100" w:type="dxa"/>
              <w:left w:w="100" w:type="dxa"/>
              <w:right w:w="100" w:type="dxa"/>
            </w:tcMar>
          </w:tcPr>
          <w:p>
            <w:pPr>
              <w:spacing w:after="20" w:before="20" w:line="247" w:lineRule="auto"/>
            </w:pPr>
            <w:r>
              <w:rPr>
                <w:sz w:val="18"/>
              </w:rPr>
              <w:t>Single words + connected speech in used languages; family intelligibility examples</w:t>
            </w:r>
          </w:p>
        </w:tc>
      </w:tr>
      <w:tr>
        <w:trPr>
          <w:cantSplit/>
        </w:trPr>
        <w:tc>
          <w:tcPr>
            <w:tcW w:type="dxa" w:w="5184"/>
            <w:shd w:fill="EDF7F4"/>
            <w:tcMar>
              <w:top w:w="100" w:type="dxa"/>
              <w:bottom w:w="100" w:type="dxa"/>
              <w:left w:w="100" w:type="dxa"/>
              <w:right w:w="100" w:type="dxa"/>
            </w:tcMar>
          </w:tcPr>
          <w:p>
            <w:pPr>
              <w:spacing w:after="20" w:before="20" w:line="247" w:lineRule="auto"/>
            </w:pPr>
            <w:r>
              <w:rPr>
                <w:sz w:val="18"/>
              </w:rPr>
              <w:t>Words or grammar</w:t>
            </w:r>
          </w:p>
        </w:tc>
        <w:tc>
          <w:tcPr>
            <w:tcW w:type="dxa" w:w="5184"/>
            <w:shd w:fill="EDF7F4"/>
            <w:tcMar>
              <w:top w:w="100" w:type="dxa"/>
              <w:bottom w:w="100" w:type="dxa"/>
              <w:left w:w="100" w:type="dxa"/>
              <w:right w:w="100" w:type="dxa"/>
            </w:tcMar>
          </w:tcPr>
          <w:p>
            <w:pPr>
              <w:spacing w:after="20" w:before="20" w:line="247" w:lineRule="auto"/>
            </w:pPr>
            <w:r>
              <w:rPr>
                <w:sz w:val="18"/>
              </w:rPr>
              <w:t>History + language samples + language-specific probes</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Learning</w:t>
            </w:r>
          </w:p>
        </w:tc>
        <w:tc>
          <w:tcPr>
            <w:tcW w:type="dxa" w:w="5184"/>
            <w:shd w:fill="FFFFFF"/>
            <w:tcMar>
              <w:top w:w="100" w:type="dxa"/>
              <w:bottom w:w="100" w:type="dxa"/>
              <w:left w:w="100" w:type="dxa"/>
              <w:right w:w="100" w:type="dxa"/>
            </w:tcMar>
          </w:tcPr>
          <w:p>
            <w:pPr>
              <w:spacing w:after="20" w:before="20" w:line="247" w:lineRule="auto"/>
            </w:pPr>
            <w:r>
              <w:rPr>
                <w:sz w:val="18"/>
              </w:rPr>
              <w:t>Accessible baseline + recorded teaching + retest/transfer</w:t>
            </w:r>
          </w:p>
        </w:tc>
      </w:tr>
      <w:tr>
        <w:trPr>
          <w:cantSplit/>
        </w:trPr>
        <w:tc>
          <w:tcPr>
            <w:tcW w:type="dxa" w:w="5184"/>
            <w:shd w:fill="EDF7F4"/>
            <w:tcMar>
              <w:top w:w="100" w:type="dxa"/>
              <w:bottom w:w="100" w:type="dxa"/>
              <w:left w:w="100" w:type="dxa"/>
              <w:right w:w="100" w:type="dxa"/>
            </w:tcMar>
          </w:tcPr>
          <w:p>
            <w:pPr>
              <w:spacing w:after="20" w:before="20" w:line="247" w:lineRule="auto"/>
            </w:pPr>
            <w:r>
              <w:rPr>
                <w:sz w:val="18"/>
              </w:rPr>
              <w:t>Little speech or AAC</w:t>
            </w:r>
          </w:p>
        </w:tc>
        <w:tc>
          <w:tcPr>
            <w:tcW w:type="dxa" w:w="5184"/>
            <w:shd w:fill="EDF7F4"/>
            <w:tcMar>
              <w:top w:w="100" w:type="dxa"/>
              <w:bottom w:w="100" w:type="dxa"/>
              <w:left w:w="100" w:type="dxa"/>
              <w:right w:w="100" w:type="dxa"/>
            </w:tcMar>
          </w:tcPr>
          <w:p>
            <w:pPr>
              <w:spacing w:after="20" w:before="20" w:line="247" w:lineRule="auto"/>
            </w:pPr>
            <w:r>
              <w:rPr>
                <w:sz w:val="18"/>
              </w:rPr>
              <w:t>Communication functions + access + supported observation</w:t>
            </w:r>
          </w:p>
        </w:tc>
      </w:tr>
    </w:tbl>
    <w:p>
      <w:pPr>
        <w:spacing w:after="20"/>
      </w:pPr>
    </w:p>
    <w:p>
      <w:pPr>
        <w:pStyle w:val="Heading3"/>
      </w:pPr>
      <w:r>
        <w:t>Before selecting a score</w:t>
      </w:r>
    </w:p>
    <w:p>
      <w:r>
        <w:t>Check the child’s age, languages and varieties, experience, schooling, access and the tool’s intended use. Arrange linguistic expertise when needed. [1, 3]</w:t>
      </w:r>
    </w:p>
    <w:p>
      <w:r>
        <w:br w:type="page"/>
      </w:r>
    </w:p>
    <w:p>
      <w:r>
        <w:rPr>
          <w:sz w:val="18"/>
        </w:rPr>
        <w:t>03  FICTIONAL TRAINING CASES</w:t>
      </w:r>
    </w:p>
    <w:p>
      <w:pPr>
        <w:pStyle w:val="Heading1"/>
      </w:pPr>
      <w:r>
        <w:t>Two children two different plans</w:t>
      </w:r>
    </w:p>
    <w:p>
      <w:r>
        <w:t>Similar referrals can require very different methods.</w:t>
      </w:r>
    </w:p>
    <w:p>
      <w:pPr>
        <w:pStyle w:val="Heading3"/>
      </w:pPr>
      <w:r>
        <w:t>Case A  Sofía age 5</w:t>
      </w:r>
    </w:p>
    <w:p>
      <w:r>
        <w:t>Spanish is the primary home language. English became part of daily schooling this year. The teacher reports difficulty following English classroom explanations. The family describes successful Spanish play and conversation.</w:t>
      </w:r>
    </w:p>
    <w:p>
      <w:r/>
      <w:r>
        <w:rPr>
          <w:b/>
        </w:rPr>
        <w:t>Clinician:</w:t>
      </w:r>
      <w:r>
        <w:t xml:space="preserve"> Cuando juegan en casa, ¿cómo le va cuando usted le pide que haga algo? ¿Qué hace si no entiende?</w:t>
      </w:r>
    </w:p>
    <w:p>
      <w:pPr>
        <w:ind w:left="360"/>
      </w:pPr>
      <w:r>
        <w:rPr>
          <w:sz w:val="18"/>
        </w:rPr>
        <w:t>Ask for familiar-context examples.</w:t>
      </w:r>
    </w:p>
    <w:p>
      <w:r/>
      <w:r>
        <w:rPr>
          <w:b/>
        </w:rPr>
        <w:t>Plan:</w:t>
      </w:r>
      <w:r>
        <w:t xml:space="preserve"> Observe a familiar task in Spanish, sample both languages as feasible, and document English instruction and opportunities.</w:t>
      </w:r>
    </w:p>
    <w:p>
      <w:pPr>
        <w:ind w:left="360"/>
      </w:pPr>
      <w:r>
        <w:rPr>
          <w:sz w:val="18"/>
        </w:rPr>
        <w:t>A Spanish tool is a candidate only after checking its population and scoring rules.</w:t>
      </w:r>
    </w:p>
    <w:p>
      <w:r/>
      <w:r>
        <w:rPr>
          <w:b/>
        </w:rPr>
        <w:t>Interpretation move:</w:t>
      </w:r>
      <w:r>
        <w:t xml:space="preserve"> Check the same communication need in familiar Spanish contexts and examine what instruction makes accessible. Family strengths are evidence to investigate, not proof that no disorder is present. Support English learning while completing the evaluation. [1, 2]</w:t>
      </w:r>
    </w:p>
    <w:p>
      <w:pPr>
        <w:pStyle w:val="Heading3"/>
      </w:pPr>
      <w:r>
        <w:t>Case B  Daniel age 5</w:t>
      </w:r>
    </w:p>
    <w:p>
      <w:r>
        <w:t>Daniel’s family identifies as Latino. He uses English throughout the day and understands a few Spanish routines. His family and teacher report difficulty explaining events in English.</w:t>
      </w:r>
    </w:p>
    <w:p>
      <w:r/>
      <w:r>
        <w:rPr>
          <w:b/>
        </w:rPr>
        <w:t>Clinician:</w:t>
      </w:r>
      <w:r>
        <w:t xml:space="preserve"> Which language lets Daniel tell you the most? Give me a recent example.</w:t>
      </w:r>
    </w:p>
    <w:p>
      <w:pPr>
        <w:ind w:left="360"/>
      </w:pPr>
      <w:r>
        <w:rPr>
          <w:sz w:val="18"/>
        </w:rPr>
        <w:t>Identity does not establish language proficiency.</w:t>
      </w:r>
    </w:p>
    <w:p>
      <w:r/>
      <w:r>
        <w:rPr>
          <w:b/>
        </w:rPr>
        <w:t>Plan:</w:t>
      </w:r>
      <w:r>
        <w:t xml:space="preserve"> Prioritize accessible English assessment and family history; document the specific Spanish experience.</w:t>
      </w:r>
    </w:p>
    <w:p>
      <w:pPr>
        <w:ind w:left="360"/>
      </w:pPr>
      <w:r>
        <w:rPr>
          <w:sz w:val="18"/>
        </w:rPr>
        <w:t>PLS 5 Spanish is not intended for primarily English-speaking children with little Spanish. [4]</w:t>
      </w:r>
    </w:p>
    <w:p>
      <w:pPr>
        <w:pStyle w:val="Heading3"/>
      </w:pPr>
      <w:r>
        <w:t>Same clinical habit in both cases</w:t>
      </w:r>
    </w:p>
    <w:p>
      <w:r>
        <w:t>Choose the interpretation supported by the child’s actual experience. Do not use a language-exposure percentage as a diagnostic cutoff.</w:t>
      </w:r>
    </w:p>
    <w:p>
      <w:r>
        <w:br w:type="page"/>
      </w:r>
    </w:p>
    <w:p>
      <w:r>
        <w:rPr>
          <w:sz w:val="18"/>
        </w:rPr>
        <w:t>04  FICTIONAL TRAINING CASE</w:t>
      </w:r>
    </w:p>
    <w:p>
      <w:pPr>
        <w:pStyle w:val="Heading1"/>
      </w:pPr>
      <w:r>
        <w:t>When access changes what you can observe</w:t>
      </w:r>
    </w:p>
    <w:p>
      <w:r>
        <w:t>Case C: Valeria, age 8, uses Spanish with family, English at school and AAC in both settings. A referral says she “cannot make sentences.”</w:t>
      </w:r>
    </w:p>
    <w:p>
      <w:r/>
      <w:r>
        <w:rPr>
          <w:b/>
        </w:rPr>
        <w:t>Clinician to team:</w:t>
      </w:r>
      <w:r>
        <w:t xml:space="preserve"> Show me the message Valeria wanted to communicate. Were the needed words available, and could she reach them?</w:t>
      </w:r>
    </w:p>
    <w:p>
      <w:pPr>
        <w:ind w:left="360"/>
      </w:pPr>
      <w:r>
        <w:rPr>
          <w:sz w:val="18"/>
        </w:rPr>
        <w:t>Separate an observed output from a claim about language.</w:t>
      </w:r>
    </w:p>
    <w:p>
      <w:r/>
      <w:r>
        <w:rPr>
          <w:b/>
        </w:rPr>
        <w:t>Clinician to family:</w:t>
      </w:r>
      <w:r>
        <w:t xml:space="preserve"> ¿Qué le gustaría a Valeria poder decir con su sistema de comunicación? ¿Cómo se lo hace saber ahora?</w:t>
      </w:r>
    </w:p>
    <w:p>
      <w:pPr>
        <w:ind w:left="360"/>
      </w:pPr>
      <w:r>
        <w:rPr>
          <w:sz w:val="18"/>
        </w:rPr>
        <w:t>Identify messages that matter at home.</w:t>
      </w:r>
    </w:p>
    <w:p>
      <w:r>
        <w:drawing>
          <wp:inline xmlns:a="http://schemas.openxmlformats.org/drawingml/2006/main" xmlns:pic="http://schemas.openxmlformats.org/drawingml/2006/picture">
            <wp:extent cx="6217920" cy="1734108"/>
            <wp:docPr id="3" name="Picture 3" descr="Test the access question. Observe: Familiar activity and partner; Document: Vocabulary available + selection method + supports; Sample: Messages in relevant languages and modes; Reassess: What changed when access improved?"/>
            <wp:cNvGraphicFramePr>
              <a:graphicFrameLocks noChangeAspect="1"/>
            </wp:cNvGraphicFramePr>
            <a:graphic>
              <a:graphicData uri="http://schemas.openxmlformats.org/drawingml/2006/picture">
                <pic:pic>
                  <pic:nvPicPr>
                    <pic:cNvPr id="0" name="02_visual_3.png"/>
                    <pic:cNvPicPr/>
                  </pic:nvPicPr>
                  <pic:blipFill>
                    <a:blip r:embed="rId13"/>
                    <a:stretch>
                      <a:fillRect/>
                    </a:stretch>
                  </pic:blipFill>
                  <pic:spPr>
                    <a:xfrm>
                      <a:off x="0" y="0"/>
                      <a:ext cx="6217920" cy="1734108"/>
                    </a:xfrm>
                    <a:prstGeom prst="rect"/>
                  </pic:spPr>
                </pic:pic>
              </a:graphicData>
            </a:graphic>
          </wp:inline>
        </w:drawing>
      </w:r>
    </w:p>
    <w:p>
      <w:r/>
      <w:r>
        <w:rPr>
          <w:b/>
        </w:rPr>
        <w:t>Next move:</w:t>
      </w:r>
      <w:r>
        <w:t xml:space="preserve"> Collaborate with AAC expertise. Collect language evidence that does not require more speech or motor output than Valeria can access. Improvement after an access change informs the next question; it does not independently establish or exclude a language disorder. [1]</w:t>
      </w:r>
    </w:p>
    <w:p>
      <w:pPr>
        <w:pStyle w:val="Heading2"/>
      </w:pPr>
      <w:r>
        <w:t>Brief the interpreter before the visit</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3456"/>
        <w:gridCol w:w="3456"/>
      </w:tblGrid>
      <w:tr>
        <w:trPr>
          <w:cantSplit/>
          <w:tblHeader/>
        </w:trPr>
        <w:tc>
          <w:tcPr>
            <w:tcW w:type="dxa" w:w="3456"/>
            <w:shd w:fill="16796F"/>
            <w:tcMar>
              <w:top w:w="100" w:type="dxa"/>
              <w:bottom w:w="100" w:type="dxa"/>
              <w:left w:w="100" w:type="dxa"/>
              <w:right w:w="100" w:type="dxa"/>
            </w:tcMar>
          </w:tcPr>
          <w:p>
            <w:pPr>
              <w:spacing w:after="20" w:before="20" w:line="247" w:lineRule="auto"/>
            </w:pPr>
            <w:r>
              <w:rPr>
                <w:b/>
                <w:color w:val="FFFFFF"/>
                <w:sz w:val="18"/>
              </w:rPr>
              <w:t>Before</w:t>
            </w:r>
          </w:p>
        </w:tc>
        <w:tc>
          <w:tcPr>
            <w:tcW w:type="dxa" w:w="3456"/>
            <w:shd w:fill="16796F"/>
            <w:tcMar>
              <w:top w:w="100" w:type="dxa"/>
              <w:bottom w:w="100" w:type="dxa"/>
              <w:left w:w="100" w:type="dxa"/>
              <w:right w:w="100" w:type="dxa"/>
            </w:tcMar>
          </w:tcPr>
          <w:p>
            <w:pPr>
              <w:spacing w:after="20" w:before="20" w:line="247" w:lineRule="auto"/>
            </w:pPr>
            <w:r>
              <w:rPr>
                <w:b/>
                <w:color w:val="FFFFFF"/>
                <w:sz w:val="18"/>
              </w:rPr>
              <w:t>During</w:t>
            </w:r>
          </w:p>
        </w:tc>
        <w:tc>
          <w:tcPr>
            <w:tcW w:type="dxa" w:w="3456"/>
            <w:shd w:fill="16796F"/>
            <w:tcMar>
              <w:top w:w="100" w:type="dxa"/>
              <w:bottom w:w="100" w:type="dxa"/>
              <w:left w:w="100" w:type="dxa"/>
              <w:right w:w="100" w:type="dxa"/>
            </w:tcMar>
          </w:tcPr>
          <w:p>
            <w:pPr>
              <w:spacing w:after="20" w:before="20" w:line="247" w:lineRule="auto"/>
            </w:pPr>
            <w:r>
              <w:rPr>
                <w:b/>
                <w:color w:val="FFFFFF"/>
                <w:sz w:val="18"/>
              </w:rPr>
              <w:t>After</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Explain the task, exact prompts and what to preserve</w:t>
            </w:r>
          </w:p>
        </w:tc>
        <w:tc>
          <w:tcPr>
            <w:tcW w:type="dxa" w:w="3456"/>
            <w:shd w:fill="FFFFFF"/>
            <w:tcMar>
              <w:top w:w="100" w:type="dxa"/>
              <w:bottom w:w="100" w:type="dxa"/>
              <w:left w:w="100" w:type="dxa"/>
              <w:right w:w="100" w:type="dxa"/>
            </w:tcMar>
          </w:tcPr>
          <w:p>
            <w:pPr>
              <w:spacing w:after="20" w:before="20" w:line="247" w:lineRule="auto"/>
            </w:pPr>
            <w:r>
              <w:rPr>
                <w:sz w:val="18"/>
              </w:rPr>
              <w:t>Record prompts, language changes and child responses</w:t>
            </w:r>
          </w:p>
        </w:tc>
        <w:tc>
          <w:tcPr>
            <w:tcW w:type="dxa" w:w="3456"/>
            <w:shd w:fill="FFFFFF"/>
            <w:tcMar>
              <w:top w:w="100" w:type="dxa"/>
              <w:bottom w:w="100" w:type="dxa"/>
              <w:left w:w="100" w:type="dxa"/>
              <w:right w:w="100" w:type="dxa"/>
            </w:tcMar>
          </w:tcPr>
          <w:p>
            <w:pPr>
              <w:spacing w:after="20" w:before="20" w:line="247" w:lineRule="auto"/>
            </w:pPr>
            <w:r>
              <w:rPr>
                <w:sz w:val="18"/>
              </w:rPr>
              <w:t>Review ambiguous words, dialect, support and interpretation limits</w:t>
            </w:r>
          </w:p>
        </w:tc>
      </w:tr>
    </w:tbl>
    <w:p>
      <w:pPr>
        <w:spacing w:after="20"/>
      </w:pPr>
    </w:p>
    <w:p>
      <w:pPr>
        <w:pStyle w:val="Heading3"/>
      </w:pPr>
      <w:r>
        <w:t>Say this in your report</w:t>
      </w:r>
    </w:p>
    <w:p>
      <w:r>
        <w:t>“Responses were collected using [languages/modes]. [Access support] allowed [observable change]. This supports [limited conclusion]. We still need [specific evidence].” Use only wording that matches the session. [3]</w:t>
      </w:r>
    </w:p>
    <w:p>
      <w:r>
        <w:br w:type="page"/>
      </w:r>
    </w:p>
    <w:p>
      <w:r>
        <w:rPr>
          <w:sz w:val="18"/>
        </w:rPr>
        <w:t>05  COPY AND COMPLETE</w:t>
      </w:r>
    </w:p>
    <w:p>
      <w:pPr>
        <w:pStyle w:val="Heading1"/>
      </w:pPr>
      <w:r>
        <w:t>Your next session on one page</w:t>
      </w:r>
    </w:p>
    <w:p>
      <w:r>
        <w:t>Plan one real task and record the support and evidence needed next.</w:t>
      </w:r>
    </w:p>
    <w:p>
      <w:pPr>
        <w:spacing w:after="60"/>
      </w:pPr>
      <w:r>
        <w:rPr>
          <w:b/>
        </w:rPr>
        <w:t>Child code / age / grade / languages and varieties / date</w:t>
      </w:r>
    </w:p>
    <w:p>
      <w:pPr>
        <w:spacing w:after="120"/>
      </w:pPr>
      <w:r>
        <w:rPr>
          <w:sz w:val="18"/>
        </w:rPr>
        <w:t>________________________________________________________________________________</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3456"/>
        <w:gridCol w:w="3456"/>
      </w:tblGrid>
      <w:tr>
        <w:trPr>
          <w:cantSplit/>
          <w:tblHeader/>
        </w:trPr>
        <w:tc>
          <w:tcPr>
            <w:tcW w:type="dxa" w:w="3456"/>
            <w:shd w:fill="16796F"/>
            <w:tcMar>
              <w:top w:w="100" w:type="dxa"/>
              <w:bottom w:w="100" w:type="dxa"/>
              <w:left w:w="100" w:type="dxa"/>
              <w:right w:w="100" w:type="dxa"/>
            </w:tcMar>
          </w:tcPr>
          <w:p>
            <w:pPr>
              <w:spacing w:after="20" w:before="20" w:line="247" w:lineRule="auto"/>
            </w:pPr>
            <w:r>
              <w:rPr>
                <w:b/>
                <w:color w:val="FFFFFF"/>
                <w:sz w:val="18"/>
              </w:rPr>
              <w:t>Real communication task</w:t>
            </w:r>
          </w:p>
        </w:tc>
        <w:tc>
          <w:tcPr>
            <w:tcW w:type="dxa" w:w="3456"/>
            <w:shd w:fill="16796F"/>
            <w:tcMar>
              <w:top w:w="100" w:type="dxa"/>
              <w:bottom w:w="100" w:type="dxa"/>
              <w:left w:w="100" w:type="dxa"/>
              <w:right w:w="100" w:type="dxa"/>
            </w:tcMar>
          </w:tcPr>
          <w:p>
            <w:pPr>
              <w:spacing w:after="20" w:before="20" w:line="247" w:lineRule="auto"/>
            </w:pPr>
            <w:r>
              <w:rPr>
                <w:b/>
                <w:color w:val="FFFFFF"/>
                <w:sz w:val="18"/>
              </w:rPr>
              <w:t>Current strength</w:t>
            </w:r>
          </w:p>
        </w:tc>
        <w:tc>
          <w:tcPr>
            <w:tcW w:type="dxa" w:w="3456"/>
            <w:shd w:fill="16796F"/>
            <w:tcMar>
              <w:top w:w="100" w:type="dxa"/>
              <w:bottom w:w="100" w:type="dxa"/>
              <w:left w:w="100" w:type="dxa"/>
              <w:right w:w="100" w:type="dxa"/>
            </w:tcMar>
          </w:tcPr>
          <w:p>
            <w:pPr>
              <w:spacing w:after="20" w:before="20" w:line="247" w:lineRule="auto"/>
            </w:pPr>
            <w:r>
              <w:rPr>
                <w:b/>
                <w:color w:val="FFFFFF"/>
                <w:sz w:val="18"/>
              </w:rPr>
              <w:t>Breakdown to investigate</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r>
          </w:p>
        </w:tc>
        <w:tc>
          <w:tcPr>
            <w:tcW w:type="dxa" w:w="3456"/>
            <w:shd w:fill="FFFFFF"/>
            <w:tcMar>
              <w:top w:w="100" w:type="dxa"/>
              <w:bottom w:w="100" w:type="dxa"/>
              <w:left w:w="100" w:type="dxa"/>
              <w:right w:w="100" w:type="dxa"/>
            </w:tcMar>
          </w:tcPr>
          <w:p>
            <w:pPr>
              <w:spacing w:after="20" w:before="20" w:line="247" w:lineRule="auto"/>
            </w:pPr>
            <w:r>
              <w:rPr>
                <w:sz w:val="18"/>
              </w:rPr>
            </w:r>
          </w:p>
        </w:tc>
        <w:tc>
          <w:tcPr>
            <w:tcW w:type="dxa" w:w="3456"/>
            <w:shd w:fill="FFFFFF"/>
            <w:tcMar>
              <w:top w:w="100" w:type="dxa"/>
              <w:bottom w:w="100" w:type="dxa"/>
              <w:left w:w="100" w:type="dxa"/>
              <w:right w:w="100" w:type="dxa"/>
            </w:tcMar>
          </w:tcPr>
          <w:p>
            <w:pPr>
              <w:spacing w:after="20" w:before="20" w:line="247" w:lineRule="auto"/>
            </w:pPr>
            <w:r>
              <w:rPr>
                <w:sz w:val="18"/>
              </w:rPr>
            </w:r>
          </w:p>
        </w:tc>
      </w:tr>
    </w:tbl>
    <w:p>
      <w:pPr>
        <w:spacing w:after="20"/>
      </w:pPr>
    </w:p>
    <w:p>
      <w:pPr>
        <w:spacing w:after="60"/>
      </w:pPr>
      <w:r>
        <w:rPr>
          <w:b/>
        </w:rPr>
        <w:t>Family example and priority</w:t>
      </w:r>
    </w:p>
    <w:p>
      <w:pPr>
        <w:spacing w:after="120"/>
      </w:pPr>
      <w:r>
        <w:rPr>
          <w:sz w:val="18"/>
        </w:rPr>
        <w:t>________________________________________________________________________________</w:t>
      </w:r>
    </w:p>
    <w:p>
      <w:pPr>
        <w:spacing w:after="60"/>
      </w:pPr>
      <w:r>
        <w:rPr>
          <w:b/>
        </w:rPr>
        <w:t>School example and language of instruction</w:t>
      </w:r>
    </w:p>
    <w:p>
      <w:pPr>
        <w:spacing w:after="120"/>
      </w:pPr>
      <w:r>
        <w:rPr>
          <w:sz w:val="18"/>
        </w:rPr>
        <w:t>________________________________________________________________________________</w:t>
      </w:r>
    </w:p>
    <w:p>
      <w:pPr>
        <w:spacing w:after="60"/>
      </w:pPr>
      <w:r>
        <w:rPr>
          <w:b/>
        </w:rPr>
        <w:t>Access supports / interpreter or bilingual collaborator / role</w:t>
      </w:r>
    </w:p>
    <w:p>
      <w:pPr>
        <w:spacing w:after="120"/>
      </w:pPr>
      <w:r>
        <w:rPr>
          <w:sz w:val="18"/>
        </w:rPr>
        <w:t>________________________________________________________________________________</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592"/>
        <w:gridCol w:w="2592"/>
        <w:gridCol w:w="2592"/>
        <w:gridCol w:w="2592"/>
      </w:tblGrid>
      <w:tr>
        <w:trPr>
          <w:cantSplit/>
          <w:tblHeader/>
        </w:trPr>
        <w:tc>
          <w:tcPr>
            <w:tcW w:type="dxa" w:w="2592"/>
            <w:shd w:fill="16796F"/>
            <w:tcMar>
              <w:top w:w="100" w:type="dxa"/>
              <w:bottom w:w="100" w:type="dxa"/>
              <w:left w:w="100" w:type="dxa"/>
              <w:right w:w="100" w:type="dxa"/>
            </w:tcMar>
          </w:tcPr>
          <w:p>
            <w:pPr>
              <w:spacing w:after="20" w:before="20" w:line="247" w:lineRule="auto"/>
            </w:pPr>
            <w:r>
              <w:rPr>
                <w:b/>
                <w:color w:val="FFFFFF"/>
                <w:sz w:val="18"/>
              </w:rPr>
              <w:t>Method</w:t>
            </w:r>
          </w:p>
        </w:tc>
        <w:tc>
          <w:tcPr>
            <w:tcW w:type="dxa" w:w="2592"/>
            <w:shd w:fill="16796F"/>
            <w:tcMar>
              <w:top w:w="100" w:type="dxa"/>
              <w:bottom w:w="100" w:type="dxa"/>
              <w:left w:w="100" w:type="dxa"/>
              <w:right w:w="100" w:type="dxa"/>
            </w:tcMar>
          </w:tcPr>
          <w:p>
            <w:pPr>
              <w:spacing w:after="20" w:before="20" w:line="247" w:lineRule="auto"/>
            </w:pPr>
            <w:r>
              <w:rPr>
                <w:b/>
                <w:color w:val="FFFFFF"/>
                <w:sz w:val="18"/>
              </w:rPr>
              <w:t>Question it answers</w:t>
            </w:r>
          </w:p>
        </w:tc>
        <w:tc>
          <w:tcPr>
            <w:tcW w:type="dxa" w:w="2592"/>
            <w:shd w:fill="16796F"/>
            <w:tcMar>
              <w:top w:w="100" w:type="dxa"/>
              <w:bottom w:w="100" w:type="dxa"/>
              <w:left w:w="100" w:type="dxa"/>
              <w:right w:w="100" w:type="dxa"/>
            </w:tcMar>
          </w:tcPr>
          <w:p>
            <w:pPr>
              <w:spacing w:after="20" w:before="20" w:line="247" w:lineRule="auto"/>
            </w:pPr>
            <w:r>
              <w:rPr>
                <w:b/>
                <w:color w:val="FFFFFF"/>
                <w:sz w:val="18"/>
              </w:rPr>
              <w:t>Language and support</w:t>
            </w:r>
          </w:p>
        </w:tc>
        <w:tc>
          <w:tcPr>
            <w:tcW w:type="dxa" w:w="2592"/>
            <w:shd w:fill="16796F"/>
            <w:tcMar>
              <w:top w:w="100" w:type="dxa"/>
              <w:bottom w:w="100" w:type="dxa"/>
              <w:left w:w="100" w:type="dxa"/>
              <w:right w:w="100" w:type="dxa"/>
            </w:tcMar>
          </w:tcPr>
          <w:p>
            <w:pPr>
              <w:spacing w:after="20" w:before="20" w:line="247" w:lineRule="auto"/>
            </w:pPr>
            <w:r>
              <w:rPr>
                <w:b/>
                <w:color w:val="FFFFFF"/>
                <w:sz w:val="18"/>
              </w:rPr>
              <w:t>What would change the next step</w:t>
            </w:r>
          </w:p>
        </w:tc>
      </w:tr>
      <w:tr>
        <w:trPr>
          <w:cantSplit/>
        </w:trPr>
        <w:tc>
          <w:tcPr>
            <w:tcW w:type="dxa" w:w="2592"/>
            <w:shd w:fill="FFFFFF"/>
            <w:tcMar>
              <w:top w:w="100" w:type="dxa"/>
              <w:bottom w:w="100" w:type="dxa"/>
              <w:left w:w="100" w:type="dxa"/>
              <w:right w:w="100" w:type="dxa"/>
            </w:tcMar>
          </w:tcPr>
          <w:p>
            <w:pPr>
              <w:spacing w:after="20" w:before="20" w:line="247" w:lineRule="auto"/>
            </w:pPr>
            <w:r>
              <w:rPr>
                <w:sz w:val="18"/>
              </w:rPr>
              <w:t>Family/teacher information</w:t>
            </w:r>
          </w:p>
        </w:tc>
        <w:tc>
          <w:tcPr>
            <w:tcW w:type="dxa" w:w="2592"/>
            <w:shd w:fill="FFFFFF"/>
            <w:tcMar>
              <w:top w:w="100" w:type="dxa"/>
              <w:bottom w:w="100" w:type="dxa"/>
              <w:left w:w="100" w:type="dxa"/>
              <w:right w:w="100" w:type="dxa"/>
            </w:tcMar>
          </w:tcPr>
          <w:p>
            <w:pPr>
              <w:spacing w:after="20" w:before="20" w:line="247" w:lineRule="auto"/>
            </w:pPr>
            <w:r>
              <w:rPr>
                <w:sz w:val="18"/>
              </w:rPr>
            </w:r>
          </w:p>
        </w:tc>
        <w:tc>
          <w:tcPr>
            <w:tcW w:type="dxa" w:w="2592"/>
            <w:shd w:fill="FFFFFF"/>
            <w:tcMar>
              <w:top w:w="100" w:type="dxa"/>
              <w:bottom w:w="100" w:type="dxa"/>
              <w:left w:w="100" w:type="dxa"/>
              <w:right w:w="100" w:type="dxa"/>
            </w:tcMar>
          </w:tcPr>
          <w:p>
            <w:pPr>
              <w:spacing w:after="20" w:before="20" w:line="247" w:lineRule="auto"/>
            </w:pPr>
            <w:r>
              <w:rPr>
                <w:sz w:val="18"/>
              </w:rPr>
            </w:r>
          </w:p>
        </w:tc>
        <w:tc>
          <w:tcPr>
            <w:tcW w:type="dxa" w:w="2592"/>
            <w:shd w:fill="FFFFFF"/>
            <w:tcMar>
              <w:top w:w="100" w:type="dxa"/>
              <w:bottom w:w="100" w:type="dxa"/>
              <w:left w:w="100" w:type="dxa"/>
              <w:right w:w="100" w:type="dxa"/>
            </w:tcMar>
          </w:tcPr>
          <w:p>
            <w:pPr>
              <w:spacing w:after="20" w:before="20" w:line="247" w:lineRule="auto"/>
            </w:pPr>
            <w:r>
              <w:rPr>
                <w:sz w:val="18"/>
              </w:rPr>
            </w:r>
          </w:p>
        </w:tc>
      </w:tr>
      <w:tr>
        <w:trPr>
          <w:cantSplit/>
        </w:trPr>
        <w:tc>
          <w:tcPr>
            <w:tcW w:type="dxa" w:w="2592"/>
            <w:shd w:fill="EDF7F4"/>
            <w:tcMar>
              <w:top w:w="100" w:type="dxa"/>
              <w:bottom w:w="100" w:type="dxa"/>
              <w:left w:w="100" w:type="dxa"/>
              <w:right w:w="100" w:type="dxa"/>
            </w:tcMar>
          </w:tcPr>
          <w:p>
            <w:pPr>
              <w:spacing w:after="20" w:before="20" w:line="247" w:lineRule="auto"/>
            </w:pPr>
            <w:r>
              <w:rPr>
                <w:sz w:val="18"/>
              </w:rPr>
              <w:t>Sample or observation</w:t>
            </w:r>
          </w:p>
        </w:tc>
        <w:tc>
          <w:tcPr>
            <w:tcW w:type="dxa" w:w="2592"/>
            <w:shd w:fill="EDF7F4"/>
            <w:tcMar>
              <w:top w:w="100" w:type="dxa"/>
              <w:bottom w:w="100" w:type="dxa"/>
              <w:left w:w="100" w:type="dxa"/>
              <w:right w:w="100" w:type="dxa"/>
            </w:tcMar>
          </w:tcPr>
          <w:p>
            <w:pPr>
              <w:spacing w:after="20" w:before="20" w:line="247" w:lineRule="auto"/>
            </w:pPr>
            <w:r>
              <w:rPr>
                <w:sz w:val="18"/>
              </w:rPr>
            </w:r>
          </w:p>
        </w:tc>
        <w:tc>
          <w:tcPr>
            <w:tcW w:type="dxa" w:w="2592"/>
            <w:shd w:fill="EDF7F4"/>
            <w:tcMar>
              <w:top w:w="100" w:type="dxa"/>
              <w:bottom w:w="100" w:type="dxa"/>
              <w:left w:w="100" w:type="dxa"/>
              <w:right w:w="100" w:type="dxa"/>
            </w:tcMar>
          </w:tcPr>
          <w:p>
            <w:pPr>
              <w:spacing w:after="20" w:before="20" w:line="247" w:lineRule="auto"/>
            </w:pPr>
            <w:r>
              <w:rPr>
                <w:sz w:val="18"/>
              </w:rPr>
            </w:r>
          </w:p>
        </w:tc>
        <w:tc>
          <w:tcPr>
            <w:tcW w:type="dxa" w:w="2592"/>
            <w:shd w:fill="EDF7F4"/>
            <w:tcMar>
              <w:top w:w="100" w:type="dxa"/>
              <w:bottom w:w="100" w:type="dxa"/>
              <w:left w:w="100" w:type="dxa"/>
              <w:right w:w="100" w:type="dxa"/>
            </w:tcMar>
          </w:tcPr>
          <w:p>
            <w:pPr>
              <w:spacing w:after="20" w:before="20" w:line="247" w:lineRule="auto"/>
            </w:pPr>
            <w:r>
              <w:rPr>
                <w:sz w:val="18"/>
              </w:rPr>
            </w:r>
          </w:p>
        </w:tc>
      </w:tr>
      <w:tr>
        <w:trPr>
          <w:cantSplit/>
        </w:trPr>
        <w:tc>
          <w:tcPr>
            <w:tcW w:type="dxa" w:w="2592"/>
            <w:shd w:fill="FFFFFF"/>
            <w:tcMar>
              <w:top w:w="100" w:type="dxa"/>
              <w:bottom w:w="100" w:type="dxa"/>
              <w:left w:w="100" w:type="dxa"/>
              <w:right w:w="100" w:type="dxa"/>
            </w:tcMar>
          </w:tcPr>
          <w:p>
            <w:pPr>
              <w:spacing w:after="20" w:before="20" w:line="247" w:lineRule="auto"/>
            </w:pPr>
            <w:r>
              <w:rPr>
                <w:sz w:val="18"/>
              </w:rPr>
              <w:t>Targeted probe or learning task</w:t>
            </w:r>
          </w:p>
        </w:tc>
        <w:tc>
          <w:tcPr>
            <w:tcW w:type="dxa" w:w="2592"/>
            <w:shd w:fill="FFFFFF"/>
            <w:tcMar>
              <w:top w:w="100" w:type="dxa"/>
              <w:bottom w:w="100" w:type="dxa"/>
              <w:left w:w="100" w:type="dxa"/>
              <w:right w:w="100" w:type="dxa"/>
            </w:tcMar>
          </w:tcPr>
          <w:p>
            <w:pPr>
              <w:spacing w:after="20" w:before="20" w:line="247" w:lineRule="auto"/>
            </w:pPr>
            <w:r>
              <w:rPr>
                <w:sz w:val="18"/>
              </w:rPr>
            </w:r>
          </w:p>
        </w:tc>
        <w:tc>
          <w:tcPr>
            <w:tcW w:type="dxa" w:w="2592"/>
            <w:shd w:fill="FFFFFF"/>
            <w:tcMar>
              <w:top w:w="100" w:type="dxa"/>
              <w:bottom w:w="100" w:type="dxa"/>
              <w:left w:w="100" w:type="dxa"/>
              <w:right w:w="100" w:type="dxa"/>
            </w:tcMar>
          </w:tcPr>
          <w:p>
            <w:pPr>
              <w:spacing w:after="20" w:before="20" w:line="247" w:lineRule="auto"/>
            </w:pPr>
            <w:r>
              <w:rPr>
                <w:sz w:val="18"/>
              </w:rPr>
            </w:r>
          </w:p>
        </w:tc>
        <w:tc>
          <w:tcPr>
            <w:tcW w:type="dxa" w:w="2592"/>
            <w:shd w:fill="FFFFFF"/>
            <w:tcMar>
              <w:top w:w="100" w:type="dxa"/>
              <w:bottom w:w="100" w:type="dxa"/>
              <w:left w:w="100" w:type="dxa"/>
              <w:right w:w="100" w:type="dxa"/>
            </w:tcMar>
          </w:tcPr>
          <w:p>
            <w:pPr>
              <w:spacing w:after="20" w:before="20" w:line="247" w:lineRule="auto"/>
            </w:pPr>
            <w:r>
              <w:rPr>
                <w:sz w:val="18"/>
              </w:rPr>
            </w:r>
          </w:p>
        </w:tc>
      </w:tr>
      <w:tr>
        <w:trPr>
          <w:cantSplit/>
        </w:trPr>
        <w:tc>
          <w:tcPr>
            <w:tcW w:type="dxa" w:w="2592"/>
            <w:shd w:fill="EDF7F4"/>
            <w:tcMar>
              <w:top w:w="100" w:type="dxa"/>
              <w:bottom w:w="100" w:type="dxa"/>
              <w:left w:w="100" w:type="dxa"/>
              <w:right w:w="100" w:type="dxa"/>
            </w:tcMar>
          </w:tcPr>
          <w:p>
            <w:pPr>
              <w:spacing w:after="20" w:before="20" w:line="247" w:lineRule="auto"/>
            </w:pPr>
            <w:r>
              <w:rPr>
                <w:sz w:val="18"/>
              </w:rPr>
              <w:t>Formal tool if appropriate</w:t>
            </w:r>
          </w:p>
        </w:tc>
        <w:tc>
          <w:tcPr>
            <w:tcW w:type="dxa" w:w="2592"/>
            <w:shd w:fill="EDF7F4"/>
            <w:tcMar>
              <w:top w:w="100" w:type="dxa"/>
              <w:bottom w:w="100" w:type="dxa"/>
              <w:left w:w="100" w:type="dxa"/>
              <w:right w:w="100" w:type="dxa"/>
            </w:tcMar>
          </w:tcPr>
          <w:p>
            <w:pPr>
              <w:spacing w:after="20" w:before="20" w:line="247" w:lineRule="auto"/>
            </w:pPr>
            <w:r>
              <w:rPr>
                <w:sz w:val="18"/>
              </w:rPr>
            </w:r>
          </w:p>
        </w:tc>
        <w:tc>
          <w:tcPr>
            <w:tcW w:type="dxa" w:w="2592"/>
            <w:shd w:fill="EDF7F4"/>
            <w:tcMar>
              <w:top w:w="100" w:type="dxa"/>
              <w:bottom w:w="100" w:type="dxa"/>
              <w:left w:w="100" w:type="dxa"/>
              <w:right w:w="100" w:type="dxa"/>
            </w:tcMar>
          </w:tcPr>
          <w:p>
            <w:pPr>
              <w:spacing w:after="20" w:before="20" w:line="247" w:lineRule="auto"/>
            </w:pPr>
            <w:r>
              <w:rPr>
                <w:sz w:val="18"/>
              </w:rPr>
            </w:r>
          </w:p>
        </w:tc>
        <w:tc>
          <w:tcPr>
            <w:tcW w:type="dxa" w:w="2592"/>
            <w:shd w:fill="EDF7F4"/>
            <w:tcMar>
              <w:top w:w="100" w:type="dxa"/>
              <w:bottom w:w="100" w:type="dxa"/>
              <w:left w:w="100" w:type="dxa"/>
              <w:right w:w="100" w:type="dxa"/>
            </w:tcMar>
          </w:tcPr>
          <w:p>
            <w:pPr>
              <w:spacing w:after="20" w:before="20" w:line="247" w:lineRule="auto"/>
            </w:pPr>
            <w:r>
              <w:rPr>
                <w:sz w:val="18"/>
              </w:rPr>
            </w:r>
          </w:p>
        </w:tc>
      </w:tr>
    </w:tbl>
    <w:p>
      <w:pPr>
        <w:spacing w:after="20"/>
      </w:pPr>
    </w:p>
    <w:p>
      <w:pPr>
        <w:spacing w:after="60"/>
      </w:pPr>
      <w:r>
        <w:rPr>
          <w:b/>
        </w:rPr>
        <w:t>Evidence that converges / evidence that conflicts</w:t>
      </w:r>
    </w:p>
    <w:p>
      <w:pPr>
        <w:spacing w:after="120"/>
      </w:pPr>
      <w:r>
        <w:rPr>
          <w:sz w:val="18"/>
        </w:rPr>
        <w:t>________________________________________________________________________________</w:t>
      </w:r>
    </w:p>
    <w:p>
      <w:pPr>
        <w:spacing w:after="60"/>
      </w:pPr>
      <w:r>
        <w:rPr>
          <w:b/>
        </w:rPr>
        <w:t>What is supported now / what is still uncertain</w:t>
      </w:r>
    </w:p>
    <w:p>
      <w:pPr>
        <w:spacing w:after="120"/>
      </w:pPr>
      <w:r>
        <w:rPr>
          <w:sz w:val="18"/>
        </w:rPr>
        <w:t>________________________________________________________________________________</w:t>
      </w:r>
    </w:p>
    <w:p>
      <w:pPr>
        <w:spacing w:after="60"/>
      </w:pPr>
      <w:r>
        <w:rPr>
          <w:b/>
        </w:rPr>
        <w:t>Action / person responsible / date to revisit</w:t>
      </w:r>
    </w:p>
    <w:p>
      <w:pPr>
        <w:spacing w:after="120"/>
      </w:pPr>
      <w:r>
        <w:rPr>
          <w:sz w:val="18"/>
        </w:rPr>
        <w:t>________________________________________________________________________________</w:t>
      </w:r>
    </w:p>
    <w:p>
      <w:pPr>
        <w:pStyle w:val="Heading3"/>
      </w:pPr>
      <w:r>
        <w:t>Close the loop</w:t>
      </w:r>
    </w:p>
    <w:p>
      <w:r>
        <w:t>Adjust blocked access and observe again. Sample both contexts when reports conflict. Persistent concerns need broader evaluation. One score or learning response cannot decide the case. [1, 2, 6]</w:t>
      </w:r>
    </w:p>
    <w:p>
      <w:r>
        <w:br w:type="page"/>
      </w:r>
    </w:p>
    <w:p>
      <w:r>
        <w:rPr>
          <w:sz w:val="18"/>
        </w:rPr>
        <w:t>06  SOURCE NOTES</w:t>
      </w:r>
    </w:p>
    <w:p>
      <w:pPr>
        <w:pStyle w:val="Heading1"/>
      </w:pPr>
      <w:r>
        <w:t>Sources behind the decision map</w:t>
      </w:r>
    </w:p>
    <w:p>
      <w:r>
        <w:t>This is an original planning aid. The fictional cases demonstrate reasoning, not diagnostic outcomes.</w:t>
      </w:r>
    </w:p>
    <w:p>
      <w:r>
        <w:rPr>
          <w:sz w:val="18"/>
        </w:rPr>
        <w:t xml:space="preserve">[1] American Speech-Language-Hearing Association. (n.d.). Multilingual service delivery in audiology and speech-language pathology. Practice Portal. </w:t>
      </w:r>
      <w:hyperlink r:id="rId14">
        <w:r>
          <w:rPr>
            <w:color w:val="215B77"/>
          </w:rPr>
          <w:t>https://www.asha.org/practice-portal/professional-issues/multilingual-service-delivery/</w:t>
        </w:r>
      </w:hyperlink>
      <w:r>
        <w:rPr>
          <w:sz w:val="18"/>
        </w:rPr>
      </w:r>
    </w:p>
    <w:p>
      <w:r>
        <w:rPr>
          <w:sz w:val="18"/>
        </w:rPr>
        <w:t xml:space="preserve">[2] U.S. Department of Education. (n.d.). IDEA regulations, 34 CFR §300.304, evaluation procedures. </w:t>
      </w:r>
      <w:hyperlink r:id="rId15">
        <w:r>
          <w:rPr>
            <w:color w:val="215B77"/>
          </w:rPr>
          <w:t>https://sites.ed.gov/idea/regs/b/d/300.304</w:t>
        </w:r>
      </w:hyperlink>
      <w:r>
        <w:rPr>
          <w:sz w:val="18"/>
        </w:rPr>
      </w:r>
    </w:p>
    <w:p>
      <w:r>
        <w:rPr>
          <w:sz w:val="18"/>
        </w:rPr>
        <w:t xml:space="preserve">[3] American Speech-Language-Hearing Association. (n.d.). Collaborating with interpreters, transliterators, and translators. Practice Portal. </w:t>
      </w:r>
      <w:hyperlink r:id="rId16">
        <w:r>
          <w:rPr>
            <w:color w:val="215B77"/>
          </w:rPr>
          <w:t>https://www.asha.org/practice-portal/professional-issues/collaborating-with-interpreters/</w:t>
        </w:r>
      </w:hyperlink>
      <w:r>
        <w:rPr>
          <w:sz w:val="18"/>
        </w:rPr>
      </w:r>
    </w:p>
    <w:p>
      <w:r>
        <w:rPr>
          <w:sz w:val="18"/>
        </w:rPr>
        <w:t xml:space="preserve">[4] Pearson. (n.d.). Screen or assess emerging communication skills in English or Spanish with the PLS 5 family. Publisher brochure. </w:t>
      </w:r>
      <w:hyperlink r:id="rId17">
        <w:r>
          <w:rPr>
            <w:color w:val="215B77"/>
          </w:rPr>
          <w:t>https://www.pearsonassessments.com/content/dam/school/global/clinical/us/assets/pls5/pls-5-brochure.pdf</w:t>
        </w:r>
      </w:hyperlink>
      <w:r>
        <w:rPr>
          <w:sz w:val="18"/>
        </w:rPr>
      </w:r>
    </w:p>
    <w:p>
      <w:r>
        <w:rPr>
          <w:sz w:val="18"/>
        </w:rPr>
        <w:t xml:space="preserve">[5] Pearson. (n.d.). Clinical Evaluation of Language Fundamentals Fourth Edition Spanish. Product information and Spanish edition comparison. </w:t>
      </w:r>
      <w:hyperlink r:id="rId18">
        <w:r>
          <w:rPr>
            <w:color w:val="215B77"/>
          </w:rPr>
          <w:t>https://www.pearsonassessments.com/store/en/usd/p/100000436.html</w:t>
        </w:r>
      </w:hyperlink>
      <w:r>
        <w:rPr>
          <w:sz w:val="18"/>
        </w:rPr>
      </w:r>
    </w:p>
    <w:p>
      <w:r>
        <w:rPr>
          <w:sz w:val="18"/>
        </w:rPr>
        <w:t xml:space="preserve">[6] Orellana, C. I., Wada, R., &amp; Gillam, R. B. (2019). The use of dynamic assessment for the diagnosis of language disorders in bilingual children: A meta-analysis. American Journal of Speech-Language Pathology, 28, 1298–1317. </w:t>
      </w:r>
      <w:hyperlink r:id="rId19">
        <w:r>
          <w:rPr>
            <w:color w:val="215B77"/>
          </w:rPr>
          <w:t>https://doi.org/10.1044/2019_AJSLP-18-0202</w:t>
        </w:r>
      </w:hyperlink>
      <w:r>
        <w:rPr>
          <w:sz w:val="18"/>
        </w:rPr>
      </w:r>
    </w:p>
    <w:p>
      <w:r>
        <w:rPr>
          <w:sz w:val="18"/>
        </w:rPr>
        <w:t xml:space="preserve">[7] U.S. Department of Education. (n.d.). IDEA regulations, 34 CFR §300.306(b), determinant factors in eligibility. </w:t>
      </w:r>
      <w:hyperlink r:id="rId20">
        <w:r>
          <w:rPr>
            <w:color w:val="215B77"/>
          </w:rPr>
          <w:t>https://sites.ed.gov/idea/regs/b/d/300.306/b</w:t>
        </w:r>
      </w:hyperlink>
      <w:r>
        <w:rPr>
          <w:sz w:val="18"/>
        </w:rPr>
      </w:r>
    </w:p>
    <w:p>
      <w:pPr>
        <w:pStyle w:val="Heading3"/>
      </w:pPr>
      <w:r>
        <w:t>Edition check</w:t>
      </w:r>
    </w:p>
    <w:p>
      <w:r>
        <w:t>CELF 4 Spanish US and CELF 5 Spain have different normative populations. Match the edition to the interpretation. [5]</w:t>
      </w:r>
    </w:p>
    <w:p>
      <w:r>
        <w:t>Sources checked 26 September 2026.</w:t>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Edition 3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CLINICAL DECISION MAP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hyperlink" Target="https://www.asha.org/practice-portal/professional-issues/multilingual-service-delivery/" TargetMode="External"/><Relationship Id="rId15" Type="http://schemas.openxmlformats.org/officeDocument/2006/relationships/hyperlink" Target="https://sites.ed.gov/idea/regs/b/d/300.304" TargetMode="External"/><Relationship Id="rId16" Type="http://schemas.openxmlformats.org/officeDocument/2006/relationships/hyperlink" Target="https://www.asha.org/practice-portal/professional-issues/collaborating-with-interpreters/" TargetMode="External"/><Relationship Id="rId17" Type="http://schemas.openxmlformats.org/officeDocument/2006/relationships/hyperlink" Target="https://www.pearsonassessments.com/content/dam/school/global/clinical/us/assets/pls5/pls-5-brochure.pdf" TargetMode="External"/><Relationship Id="rId18" Type="http://schemas.openxmlformats.org/officeDocument/2006/relationships/hyperlink" Target="https://www.pearsonassessments.com/store/en/usd/p/100000436.html" TargetMode="External"/><Relationship Id="rId19" Type="http://schemas.openxmlformats.org/officeDocument/2006/relationships/hyperlink" Target="https://doi.org/10.1044/2019_AJSLP-18-0202" TargetMode="External"/><Relationship Id="rId20" Type="http://schemas.openxmlformats.org/officeDocument/2006/relationships/hyperlink" Target="https://sites.ed.gov/idea/regs/b/d/300.306/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 Spanish and English evaluation</dc:title>
  <dc:subject>A practical route from referral to follow up</dc:subject>
  <dc:creator>BEaR Lab</dc:creator>
  <cp:keywords/>
  <dc:description/>
  <cp:lastModifiedBy/>
  <cp:revision>1</cp:revision>
  <dcterms:created xsi:type="dcterms:W3CDTF">2013-12-23T23:15:00Z</dcterms:created>
  <dcterms:modified xsi:type="dcterms:W3CDTF">2013-12-23T23:15:00Z</dcterms:modified>
  <cp:category/>
</cp:coreProperties>
</file>