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START HERE</w:t>
      </w:r>
    </w:p>
    <w:p>
      <w:pPr>
        <w:pStyle w:val="Title"/>
      </w:pPr>
      <w:r>
        <w:t>Spanish and English language sampling</w:t>
      </w:r>
    </w:p>
    <w:p>
      <w:r>
        <w:rPr>
          <w:sz w:val="22"/>
        </w:rPr>
        <w:t>An illustrated practicum for collection and interpretation</w:t>
      </w:r>
    </w:p>
    <w:p>
      <w:r>
        <w:t>Collect a brief descriptive sample and identify one communication strength and one next question.</w:t>
      </w:r>
    </w:p>
    <w:p>
      <w:r>
        <w:drawing>
          <wp:inline xmlns:a="http://schemas.openxmlformats.org/drawingml/2006/main" xmlns:pic="http://schemas.openxmlformats.org/drawingml/2006/picture">
            <wp:extent cx="6217920" cy="1526844"/>
            <wp:docPr id="1" name="Picture 1" descr="Clinical workflow. Prepare: Read the invitation and worked transcript first. Confirm language support, recording permission, and access to the pictures or an alternative task.; Plan your time: Plan about 10–15 minutes with the child plus 10–20 minutes for a focused review. These editorial estimates exclude full transcription, coding, and interpreter prepara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visual_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5268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rPr>
          <w:b/>
        </w:rPr>
        <w:t>Have ready</w:t>
      </w:r>
      <w:r>
        <w:br/>
        <w:t>Wordless story, sample record, usual communication supports, and an approved recording method when permitted.</w:t>
      </w:r>
    </w:p>
    <w:p>
      <w:r/>
      <w:r>
        <w:rPr>
          <w:b/>
        </w:rPr>
        <w:t>Use one focused route</w:t>
      </w:r>
      <w:r>
        <w:br/>
        <w:t>Invite the story → listen → record follow-up prompts separately → review exact examples. Use a familiar activity if the picture task does not fit.</w:t>
      </w:r>
    </w:p>
    <w:p>
      <w:r/>
      <w:r>
        <w:rPr>
          <w:b/>
        </w:rPr>
        <w:t>Record enough to decide</w:t>
      </w:r>
      <w:r>
        <w:br/>
        <w:t>Task, language use, access supports, one independent message, one prompted response, and the next context to sample.</w:t>
      </w:r>
    </w:p>
    <w:p>
      <w:pPr>
        <w:pStyle w:val="Heading3"/>
      </w:pPr>
      <w:r>
        <w:t>Evidence behind the practice</w:t>
      </w:r>
    </w:p>
    <w:p>
      <w:r>
        <w:t>Diagnostic-accuracy meta-analysis supports language sampling within a broader assessment. It does not validate this original story or establish a minimum sample length. [6]</w:t>
      </w:r>
    </w:p>
    <w:p>
      <w:r/>
      <w:r>
        <w:rPr>
          <w:b/>
        </w:rPr>
        <w:t>Interpretation limit</w:t>
      </w:r>
      <w:r>
        <w:br/>
        <w:t>A brief sample supports description and planning. A quantitative or reference comparison requires the full matched elicitation and analysis protocol.</w:t>
      </w:r>
    </w:p>
    <w:p>
      <w:r>
        <w:br w:type="page"/>
      </w:r>
    </w:p>
    <w:p>
      <w:r>
        <w:rPr>
          <w:sz w:val="18"/>
        </w:rPr>
        <w:t>02  SESSION CARD</w:t>
      </w:r>
    </w:p>
    <w:p>
      <w:pPr>
        <w:pStyle w:val="Heading1"/>
      </w:pPr>
      <w:r>
        <w:t>Set up a sample you can interpret</w:t>
      </w:r>
    </w:p>
    <w:p>
      <w:r>
        <w:t>Have ready: the wordless picture page, this record, the child’s communication supports and permission to record.</w:t>
      </w:r>
    </w:p>
    <w:p>
      <w:r>
        <w:drawing>
          <wp:inline xmlns:a="http://schemas.openxmlformats.org/drawingml/2006/main" xmlns:pic="http://schemas.openxmlformats.org/drawingml/2006/picture">
            <wp:extent cx="6217920" cy="1592478"/>
            <wp:docPr id="2" name="Picture 2" descr="Keep these phases separate. Invite: One open invitation; Listen: Independent message; Clarify: Record each follow-up; Interpret: Examples + context + next ques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visual_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5924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rPr>
          <w:b/>
        </w:rPr>
        <w:t>English invitation:</w:t>
      </w:r>
      <w:r>
        <w:t xml:space="preserve"> Look at all the pictures. Tell me the whole story. You can use Spanish, English, or both.</w:t>
      </w:r>
    </w:p>
    <w:p>
      <w:pPr>
        <w:ind w:left="360"/>
      </w:pPr>
      <w:r>
        <w:rPr>
          <w:sz w:val="18"/>
        </w:rPr>
        <w:t>Original informal story-generation task.</w:t>
      </w:r>
    </w:p>
    <w:p>
      <w:r/>
      <w:r>
        <w:rPr>
          <w:b/>
        </w:rPr>
        <w:t>Spanish invitation:</w:t>
      </w:r>
      <w:r>
        <w:t xml:space="preserve"> Mira todos los dibujos. Cuéntame toda la historia. Puedes usar español, inglés o los dos.</w:t>
      </w:r>
    </w:p>
    <w:p>
      <w:pPr>
        <w:ind w:left="360"/>
      </w:pPr>
      <w:r>
        <w:rPr>
          <w:sz w:val="18"/>
        </w:rPr>
        <w:t>Use the language plan that fits your question; record actual use.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84"/>
        <w:gridCol w:w="5184"/>
      </w:tblGrid>
      <w:tr>
        <w:trPr>
          <w:cantSplit/>
          <w:tblHeader/>
        </w:trPr>
        <w:tc>
          <w:tcPr>
            <w:tcW w:type="dxa" w:w="5184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If you see this</w:t>
            </w:r>
          </w:p>
        </w:tc>
        <w:tc>
          <w:tcPr>
            <w:tcW w:type="dxa" w:w="5184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Try this next</w:t>
            </w:r>
          </w:p>
        </w:tc>
      </w:tr>
      <w:tr>
        <w:trPr>
          <w:cantSplit/>
        </w:trPr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Child begins telling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Listen without supplying the problem or missing words.</w:t>
            </w:r>
          </w:p>
        </w:tc>
      </w:tr>
      <w:tr>
        <w:trPr>
          <w:cantSplit/>
        </w:trPr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Child stops</w:t>
            </w:r>
          </w:p>
        </w:tc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Allow processing time. Then “Tell me more” / “Cuéntame más”; label the response as prompted.</w:t>
            </w:r>
          </w:p>
        </w:tc>
      </w:tr>
      <w:tr>
        <w:trPr>
          <w:cantSplit/>
        </w:trPr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Child is quiet or uncomfortable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Offer a familiar activity or partner. If communication remains too limited to interpret, record “insufficient sample” and plan another context.</w:t>
            </w:r>
          </w:p>
        </w:tc>
      </w:tr>
      <w:tr>
        <w:trPr>
          <w:cantSplit/>
        </w:trPr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Child needs access support</w:t>
            </w:r>
          </w:p>
        </w:tc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Provide usual AAC, positioning and sensory supports; record what was available.</w:t>
            </w:r>
          </w:p>
        </w:tc>
      </w:tr>
    </w:tbl>
    <w:p>
      <w:pPr>
        <w:spacing w:after="20"/>
      </w:pPr>
    </w:p>
    <w:p>
      <w:pPr>
        <w:pStyle w:val="Heading3"/>
      </w:pPr>
      <w:r>
        <w:t>Choose the right task</w:t>
      </w:r>
    </w:p>
    <w:p>
      <w:r>
        <w:t>For emerging communication, use familiar play or routines. For an older student, choose a relevant explanation or personal event. If pictures are not accessible, use a meaningful nonvisual task and name the changed task in the record. [1–3]</w:t>
      </w:r>
    </w:p>
    <w:p>
      <w:r>
        <w:t>Sample before teaching with this story in the dynamic assessment lab; record prior exposure. The story has no norms or cutoff. A flexible bilingual sample describes communication; it does not provide separate proficiency scores. Use the required materials and protocol for a SALT comparison. [1, 5]</w:t>
      </w:r>
    </w:p>
    <w:p>
      <w:r>
        <w:br w:type="page"/>
      </w:r>
    </w:p>
    <w:p>
      <w:r>
        <w:rPr>
          <w:sz w:val="18"/>
        </w:rPr>
        <w:t>03  CHILD FACING PICTURE PAGE</w:t>
      </w:r>
    </w:p>
    <w:p>
      <w:pPr>
        <w:pStyle w:val="Heading1"/>
      </w:pPr>
      <w:r>
        <w:t>Tell the story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00600" cy="3200400"/>
            <wp:docPr id="3" name="Picture 3" descr="Four wordless panels: a girl builds a block bridge, a red toy car cannot pass underneath, she makes the supports taller, and the car passes beneath the bridg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ry_brid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20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rPr>
          <w:sz w:val="18"/>
        </w:rPr>
        <w:t>04  FICTIONAL TRAINING TRANSCRIPT</w:t>
      </w:r>
    </w:p>
    <w:p>
      <w:pPr>
        <w:pStyle w:val="Heading1"/>
      </w:pPr>
      <w:r>
        <w:t>Hear the evidence in the actual words</w:t>
      </w:r>
    </w:p>
    <w:p>
      <w:r>
        <w:t>The following dialogue is invented for clinician practice. It is not an age benchmark or a model answer to require from a child.</w:t>
      </w:r>
    </w:p>
    <w:p>
      <w:r/>
      <w:r>
        <w:rPr>
          <w:b/>
        </w:rPr>
        <w:t>Clinician:</w:t>
      </w:r>
      <w:r>
        <w:t xml:space="preserve"> Cuéntame toda la historia. Puedes usar español, inglés o los dos.</w:t>
      </w:r>
    </w:p>
    <w:p>
      <w:pPr>
        <w:ind w:left="360"/>
      </w:pPr>
      <w:r>
        <w:rPr>
          <w:sz w:val="18"/>
        </w:rPr>
        <w:t>Open invitation.</w:t>
      </w:r>
    </w:p>
    <w:p>
      <w:r/>
      <w:r>
        <w:rPr>
          <w:b/>
        </w:rPr>
        <w:t>Child:</w:t>
      </w:r>
      <w:r>
        <w:t xml:space="preserve"> La niña hizo un puente. El carro no cabe. Puso esos ahí. Then it went under.</w:t>
      </w:r>
    </w:p>
    <w:p>
      <w:pPr>
        <w:ind w:left="360"/>
      </w:pPr>
      <w:r>
        <w:rPr>
          <w:sz w:val="18"/>
        </w:rPr>
        <w:t>Independent story.</w:t>
      </w:r>
    </w:p>
    <w:p>
      <w:r/>
      <w:r>
        <w:rPr>
          <w:b/>
        </w:rPr>
        <w:t>Clinician:</w:t>
      </w:r>
      <w:r>
        <w:t xml:space="preserve"> Cuando dices “esos”, ¿qué puso?</w:t>
      </w:r>
    </w:p>
    <w:p>
      <w:pPr>
        <w:ind w:left="360"/>
      </w:pPr>
      <w:r>
        <w:rPr>
          <w:sz w:val="18"/>
        </w:rPr>
        <w:t>Follow-up after the initial sample.</w:t>
      </w:r>
    </w:p>
    <w:p>
      <w:r/>
      <w:r>
        <w:rPr>
          <w:b/>
        </w:rPr>
        <w:t>Child:</w:t>
      </w:r>
      <w:r>
        <w:t xml:space="preserve"> Los bloques. Más altos.</w:t>
      </w:r>
    </w:p>
    <w:p>
      <w:pPr>
        <w:ind w:left="360"/>
      </w:pPr>
      <w:r>
        <w:rPr>
          <w:sz w:val="18"/>
        </w:rPr>
        <w:t>Prompted clarification; retain separately.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3456"/>
        <w:gridCol w:w="3456"/>
      </w:tblGrid>
      <w:tr>
        <w:trPr>
          <w:cantSplit/>
          <w:tblHeader/>
        </w:trPr>
        <w:tc>
          <w:tcPr>
            <w:tcW w:type="dxa" w:w="3456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What you hear</w:t>
            </w:r>
          </w:p>
        </w:tc>
        <w:tc>
          <w:tcPr>
            <w:tcW w:type="dxa" w:w="3456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What it supports</w:t>
            </w:r>
          </w:p>
        </w:tc>
        <w:tc>
          <w:tcPr>
            <w:tcW w:type="dxa" w:w="3456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What to check next</w:t>
            </w:r>
          </w:p>
        </w:tc>
      </w:tr>
      <w:tr>
        <w:trPr>
          <w:cantSplit/>
        </w:trPr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“La niña hizo un puente”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Character and action are explicit.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An action is not necessarily an explicitly stated goal.</w:t>
            </w:r>
          </w:p>
        </w:tc>
      </w:tr>
      <w:tr>
        <w:trPr>
          <w:cantSplit/>
        </w:trPr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“El carro no cabe”</w:t>
            </w:r>
          </w:p>
        </w:tc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An obstacle is communicated.</w:t>
            </w:r>
          </w:p>
        </w:tc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Do other tasks show explanations of why?</w:t>
            </w:r>
          </w:p>
        </w:tc>
      </w:tr>
      <w:tr>
        <w:trPr>
          <w:cantSplit/>
        </w:trPr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“Puso esos ahí”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An action with a Spanish implicit subject.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The pictures may make “esos” clear; ask about the referent after sampling.</w:t>
            </w:r>
          </w:p>
        </w:tc>
      </w:tr>
      <w:tr>
        <w:trPr>
          <w:cantSplit/>
        </w:trPr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“Then it went under”</w:t>
            </w:r>
          </w:p>
        </w:tc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An outcome in English.</w:t>
            </w:r>
          </w:p>
        </w:tc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Language switching itself is not an error. “It” may be clear with the pictures; check the referent when the listener cannot see them.</w:t>
            </w:r>
          </w:p>
        </w:tc>
      </w:tr>
      <w:tr>
        <w:trPr>
          <w:cantSplit/>
        </w:trPr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“Los bloques. Más altos”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Specific information with a follow-up.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Keep it out of the independent-story record.</w:t>
            </w:r>
          </w:p>
        </w:tc>
      </w:tr>
    </w:tbl>
    <w:p>
      <w:pPr>
        <w:spacing w:after="20"/>
      </w:pPr>
    </w:p>
    <w:p>
      <w:pPr>
        <w:pStyle w:val="Heading3"/>
      </w:pPr>
      <w:r>
        <w:t>Interpretation you can defend</w:t>
      </w:r>
    </w:p>
    <w:p>
      <w:r>
        <w:t>“The child independently communicated actions, an obstacle and an outcome. A follow-up clarified the added objects. The shared pictures may have influenced referent choices. Another context is needed to assess listener clarity.” [1, 2]</w:t>
      </w:r>
    </w:p>
    <w:p>
      <w:r>
        <w:br w:type="page"/>
      </w:r>
    </w:p>
    <w:p>
      <w:r>
        <w:rPr>
          <w:sz w:val="18"/>
        </w:rPr>
        <w:t>05  FILLED CLINICAL RECORD</w:t>
      </w:r>
    </w:p>
    <w:p>
      <w:pPr>
        <w:pStyle w:val="Heading1"/>
      </w:pPr>
      <w:r>
        <w:t>Turn the sample into a next move</w:t>
      </w:r>
    </w:p>
    <w:p>
      <w:r>
        <w:t>This completed example uses the fictional dialogue in “Hear the evidence in the actual words.”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184"/>
        <w:gridCol w:w="5184"/>
      </w:tblGrid>
      <w:tr>
        <w:trPr>
          <w:cantSplit/>
          <w:tblHeader/>
        </w:trPr>
        <w:tc>
          <w:tcPr>
            <w:tcW w:type="dxa" w:w="5184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Record item</w:t>
            </w:r>
          </w:p>
        </w:tc>
        <w:tc>
          <w:tcPr>
            <w:tcW w:type="dxa" w:w="5184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Filled example</w:t>
            </w:r>
          </w:p>
        </w:tc>
      </w:tr>
      <w:tr>
        <w:trPr>
          <w:cantSplit/>
        </w:trPr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Task and language plan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Wordless story generation; flexible Spanish/English; pictures visible.</w:t>
            </w:r>
          </w:p>
        </w:tc>
      </w:tr>
      <w:tr>
        <w:trPr>
          <w:cantSplit/>
        </w:trPr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Strength with exact evidence</w:t>
            </w:r>
          </w:p>
        </w:tc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Problem: “El carro no cabe.” Outcome: “Then it went under.”</w:t>
            </w:r>
          </w:p>
        </w:tc>
      </w:tr>
      <w:tr>
        <w:trPr>
          <w:cantSplit/>
        </w:trPr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Pattern to investigate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“Puso esos ahí” relied on shared visual context.</w:t>
            </w:r>
          </w:p>
        </w:tc>
      </w:tr>
      <w:tr>
        <w:trPr>
          <w:cantSplit/>
        </w:trPr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Support and response</w:t>
            </w:r>
          </w:p>
        </w:tc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After “¿qué puso?” child specified “Los bloques. Más altos.”</w:t>
            </w:r>
          </w:p>
        </w:tc>
      </w:tr>
      <w:tr>
        <w:trPr>
          <w:cantSplit/>
        </w:trPr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Next opportunity</w:t>
            </w:r>
          </w:p>
        </w:tc>
        <w:tc>
          <w:tcPr>
            <w:tcW w:type="dxa" w:w="5184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Ask the child to explain a familiar game to a listener who does not know it. Record what the listener needs clarified.</w:t>
            </w:r>
          </w:p>
        </w:tc>
      </w:tr>
      <w:tr>
        <w:trPr>
          <w:cantSplit/>
        </w:trPr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What remains unknown</w:t>
            </w:r>
          </w:p>
        </w:tc>
        <w:tc>
          <w:tcPr>
            <w:tcW w:type="dxa" w:w="5184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Performance in other contexts and each language; no normative or diagnostic conclusion.</w:t>
            </w:r>
          </w:p>
        </w:tc>
      </w:tr>
    </w:tbl>
    <w:p>
      <w:pPr>
        <w:spacing w:after="20"/>
      </w:pPr>
    </w:p>
    <w:p>
      <w:pPr>
        <w:pStyle w:val="Heading2"/>
      </w:pPr>
      <w:r>
        <w:t>Try a second context</w:t>
      </w:r>
    </w:p>
    <w:p>
      <w:r/>
      <w:r>
        <w:rPr>
          <w:b/>
        </w:rPr>
        <w:t>English:</w:t>
      </w:r>
      <w:r>
        <w:t xml:space="preserve"> Teach me how to play a game you know. Imagine I have never played.</w:t>
      </w:r>
    </w:p>
    <w:p>
      <w:pPr>
        <w:ind w:left="360"/>
      </w:pPr>
      <w:r>
        <w:rPr>
          <w:sz w:val="18"/>
        </w:rPr>
        <w:t>Record listener questions after the initial explanation.</w:t>
      </w:r>
    </w:p>
    <w:p>
      <w:r/>
      <w:r>
        <w:rPr>
          <w:b/>
        </w:rPr>
        <w:t>Español:</w:t>
      </w:r>
      <w:r>
        <w:t xml:space="preserve"> Explícame cómo se juega tu juego favorito. Imagínate que nunca lo he jugado.</w:t>
      </w:r>
    </w:p>
    <w:p>
      <w:pPr>
        <w:ind w:left="360"/>
      </w:pPr>
      <w:r>
        <w:rPr>
          <w:sz w:val="18"/>
        </w:rPr>
        <w:t>Choose a familiar activity and confirm the child knows it.</w:t>
      </w:r>
    </w:p>
    <w:p>
      <w:pPr>
        <w:pStyle w:val="Heading3"/>
      </w:pPr>
      <w:r>
        <w:t>If you count a form</w:t>
      </w:r>
    </w:p>
    <w:p>
      <w:r>
        <w:t>Define the target, eligible contexts, exclusions and prompts. No eligible contexts means “not observed,” not 0%. Before judging a form as an error, check the child’s language variety. For numbers, follow a complete segmentation protocol; Spanish and English mean-length values are not interchangeable. [2, 5]</w:t>
      </w:r>
    </w:p>
    <w:p>
      <w:r>
        <w:t>Repeating the same story in another language adds familiarity. Record order and prior exposure; do not treat the samples as equivalent independent tests. Narrative organization can also vary with task, language and experience. [3, 4]</w:t>
      </w:r>
    </w:p>
    <w:p>
      <w:r>
        <w:br w:type="page"/>
      </w:r>
    </w:p>
    <w:p>
      <w:r>
        <w:rPr>
          <w:sz w:val="18"/>
        </w:rPr>
        <w:t>06  COPY AND USE</w:t>
      </w:r>
    </w:p>
    <w:p>
      <w:pPr>
        <w:pStyle w:val="Heading1"/>
      </w:pPr>
      <w:r>
        <w:t>Your language sample record</w:t>
      </w:r>
    </w:p>
    <w:p>
      <w:r>
        <w:t>Preserve the child’s exact words, including language switches, and keep translations separate.</w:t>
      </w:r>
    </w:p>
    <w:p>
      <w:pPr>
        <w:spacing w:after="60"/>
      </w:pPr>
      <w:r>
        <w:rPr>
          <w:b/>
        </w:rPr>
        <w:t>Child code / age / date / clinician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</w:rPr>
        <w:t>Languages and varieties / experience / family priority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</w:rPr>
        <w:t>Task / partner / language instructions / AAC and other access supports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</w:rPr>
        <w:t>Task order / prior exposure / duration / recording location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3456"/>
        <w:gridCol w:w="3456"/>
      </w:tblGrid>
      <w:tr>
        <w:trPr>
          <w:cantSplit/>
          <w:tblHeader/>
        </w:trPr>
        <w:tc>
          <w:tcPr>
            <w:tcW w:type="dxa" w:w="3456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Observation</w:t>
            </w:r>
          </w:p>
        </w:tc>
        <w:tc>
          <w:tcPr>
            <w:tcW w:type="dxa" w:w="3456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Exact words or communication</w:t>
            </w:r>
          </w:p>
        </w:tc>
        <w:tc>
          <w:tcPr>
            <w:tcW w:type="dxa" w:w="3456"/>
            <w:shd w:fill="725493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b/>
                <w:color w:val="FFFFFF"/>
                <w:sz w:val="18"/>
              </w:rPr>
              <w:t>Independent or prompted</w:t>
            </w:r>
          </w:p>
        </w:tc>
      </w:tr>
      <w:tr>
        <w:trPr>
          <w:cantSplit/>
        </w:trPr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Message strength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Word or meaning</w:t>
            </w:r>
          </w:p>
        </w:tc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</w:r>
          </w:p>
        </w:tc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Sentence or grammatical pattern</w:t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</w:r>
          </w:p>
        </w:tc>
        <w:tc>
          <w:tcPr>
            <w:tcW w:type="dxa" w:w="3456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  <w:t>Repair or participation</w:t>
            </w:r>
          </w:p>
        </w:tc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</w:r>
          </w:p>
        </w:tc>
        <w:tc>
          <w:tcPr>
            <w:tcW w:type="dxa" w:w="3456"/>
            <w:shd w:fill="F4F0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20" w:before="20" w:line="247" w:lineRule="auto"/>
            </w:pPr>
            <w:r>
              <w:rPr>
                <w:sz w:val="18"/>
              </w:rPr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>Exact follow-up or model and response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</w:rPr>
        <w:t>If counting: measure / analysis unit / correct uses / eligible contexts / exclusions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</w:rPr>
        <w:t>Language or dialect explanation to review / qualified reviewer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</w:rPr>
        <w:t>Interpretation limited to this sample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</w:rPr>
        <w:t>Next task that will answer the remaining question</w:t>
      </w:r>
    </w:p>
    <w:p>
      <w:pPr>
        <w:spacing w:after="120"/>
      </w:pPr>
      <w:r>
        <w:rPr>
          <w:sz w:val="18"/>
        </w:rPr>
        <w:t>________________________________________________________________________________</w:t>
      </w:r>
    </w:p>
    <w:p>
      <w:pPr>
        <w:pStyle w:val="Heading3"/>
      </w:pPr>
      <w:r>
        <w:t>One precise report sentence</w:t>
      </w:r>
    </w:p>
    <w:p>
      <w:r>
        <w:t>“During [task/conditions], the child independently [example]. After [exact support], the child [response]. This suggests [limited interpretation]. We will examine [question] through [next evidence].”</w:t>
      </w:r>
    </w:p>
    <w:p>
      <w:r>
        <w:br w:type="page"/>
      </w:r>
    </w:p>
    <w:p>
      <w:r>
        <w:rPr>
          <w:sz w:val="18"/>
        </w:rPr>
        <w:t>07  SOURCE NOTES</w:t>
      </w:r>
    </w:p>
    <w:p>
      <w:pPr>
        <w:pStyle w:val="Heading1"/>
      </w:pPr>
      <w:r>
        <w:t>Evidence and materials</w:t>
      </w:r>
    </w:p>
    <w:p>
      <w:r>
        <w:t>Research supports using language samples within a broader bilingual evaluation. It does not validate these original pictures, prompts or worksheets.</w:t>
      </w:r>
    </w:p>
    <w:p>
      <w:r/>
      <w:r>
        <w:rPr>
          <w:b/>
        </w:rPr>
        <w:t>Research takeaway:</w:t>
      </w:r>
      <w:r>
        <w:t xml:space="preserve"> A 2026 meta-analysis included nine studies of children ages 2–7. Accuracy varied, and integrated measures had the highest accuracy. Sampling contributes evidence; it is not automatically diagnostic. No pooled accuracy applies to this practicum. [6]</w:t>
      </w:r>
    </w:p>
    <w:p>
      <w:r>
        <w:rPr>
          <w:sz w:val="18"/>
        </w:rPr>
        <w:t xml:space="preserve">[1] American Speech-Language-Hearing Association. (n.d.). Multilingual service delivery in audiology and speech-language pathology. Practice Portal. Accessed September 26, 2026. </w:t>
      </w:r>
      <w:hyperlink r:id="rId14">
        <w:r>
          <w:rPr>
            <w:color w:val="215B77"/>
          </w:rPr>
          <w:t>https://www.asha.org/practice-portal/professional-issues/multilingual-service-delivery/</w:t>
        </w:r>
      </w:hyperlink>
      <w:r>
        <w:rPr>
          <w:sz w:val="18"/>
        </w:rPr>
      </w:r>
    </w:p>
    <w:p>
      <w:r>
        <w:rPr>
          <w:sz w:val="18"/>
        </w:rPr>
        <w:t xml:space="preserve">[2] Gutiérrez-Clellen, V. F., &amp; Simon-Cereijido, G. (2009). Using language sampling in clinical assessments with bilingual children: Challenges and future directions. Seminars in Speech and Language, 30(4), 234–245. </w:t>
      </w:r>
      <w:hyperlink r:id="rId15">
        <w:r>
          <w:rPr>
            <w:color w:val="215B77"/>
          </w:rPr>
          <w:t>https://doi.org/10.1055/s-0029-1241722</w:t>
        </w:r>
      </w:hyperlink>
      <w:r>
        <w:rPr>
          <w:sz w:val="18"/>
        </w:rPr>
      </w:r>
    </w:p>
    <w:p>
      <w:r>
        <w:rPr>
          <w:sz w:val="18"/>
        </w:rPr>
        <w:t xml:space="preserve">[3] Fiestas, C. E., &amp; Peña, E. D. (2004). Narrative discourse in bilingual children: Language and task effects. Language, Speech, and Hearing Services in Schools, 35(2), 155–168. </w:t>
      </w:r>
      <w:hyperlink r:id="rId16">
        <w:r>
          <w:rPr>
            <w:color w:val="215B77"/>
          </w:rPr>
          <w:t>https://doi.org/10.1044/0161-1461(2004/016)</w:t>
        </w:r>
      </w:hyperlink>
      <w:r>
        <w:rPr>
          <w:sz w:val="18"/>
        </w:rPr>
      </w:r>
    </w:p>
    <w:p>
      <w:r>
        <w:rPr>
          <w:sz w:val="18"/>
        </w:rPr>
        <w:t xml:space="preserve">[4] Granados Vargas, A., Peña, E. D., &amp; Bedore, L. M. (2024). Bilingual children demonstrate variation within shared narrative macrostructure. Journal of Speech, Language, and Hearing Research, 67(11), 4504–4517. </w:t>
      </w:r>
      <w:hyperlink r:id="rId17">
        <w:r>
          <w:rPr>
            <w:color w:val="215B77"/>
          </w:rPr>
          <w:t>https://doi.org/10.1044/2024_JSLHR-23-00778</w:t>
        </w:r>
      </w:hyperlink>
      <w:r>
        <w:rPr>
          <w:sz w:val="18"/>
        </w:rPr>
      </w:r>
    </w:p>
    <w:p>
      <w:r>
        <w:rPr>
          <w:sz w:val="18"/>
        </w:rPr>
        <w:t xml:space="preserve">[5] SALT Software. (n.d.). Resources and elicitation aids. Includes reference-database protocols and segmentation guidance. Accessed September 26, 2026. </w:t>
      </w:r>
      <w:hyperlink r:id="rId18">
        <w:r>
          <w:rPr>
            <w:color w:val="215B77"/>
          </w:rPr>
          <w:t>https://www.saltsoftware.com/resources</w:t>
        </w:r>
      </w:hyperlink>
      <w:r>
        <w:rPr>
          <w:sz w:val="18"/>
        </w:rPr>
        <w:t xml:space="preserve"> and </w:t>
      </w:r>
      <w:hyperlink r:id="rId19">
        <w:r>
          <w:rPr>
            <w:color w:val="215B77"/>
          </w:rPr>
          <w:t>https://www.saltsoftware.com/resources/elicaids</w:t>
        </w:r>
      </w:hyperlink>
      <w:r>
        <w:rPr>
          <w:sz w:val="18"/>
        </w:rPr>
      </w:r>
    </w:p>
    <w:p>
      <w:r>
        <w:rPr>
          <w:sz w:val="18"/>
        </w:rPr>
        <w:t xml:space="preserve">[6] Ortiz, J. A., Chow, J. C., Nolasco, J. M., &amp; Huang, Y. T. (2026). Language sample analysis in bilingual children: A meta-analysis of diagnostic accuracy. American Journal of Speech-Language Pathology, 35(3), 1304–1321. </w:t>
      </w:r>
      <w:hyperlink r:id="rId20">
        <w:r>
          <w:rPr>
            <w:color w:val="215B77"/>
          </w:rPr>
          <w:t>https://doi.org/10.1044/2025_AJSLP-25-00201</w:t>
        </w:r>
      </w:hyperlink>
      <w:r>
        <w:rPr>
          <w:sz w:val="18"/>
        </w:rPr>
      </w:r>
    </w:p>
    <w:p>
      <w:r>
        <w:t xml:space="preserve">Additional materials: LEADERSproject SLAM </w:t>
      </w:r>
      <w:hyperlink r:id="rId21">
        <w:r>
          <w:rPr>
            <w:color w:val="215B77"/>
          </w:rPr>
          <w:t>https://www.leadersproject.org/en/category/slam</w:t>
        </w:r>
      </w:hyperlink>
      <w:r>
        <w:t xml:space="preserve"> and Bilinguistics evaluation resources </w:t>
      </w:r>
      <w:hyperlink r:id="rId22">
        <w:r>
          <w:rPr>
            <w:color w:val="215B77"/>
          </w:rPr>
          <w:t>https://bilinguistics.com/evaluation-resources/</w:t>
        </w:r>
      </w:hyperlink>
      <w:r>
        <w:t>.</w:t>
      </w:r>
      <w:r>
        <w:t xml:space="preserve"> Follow each source’s instructions and permissions.</w:t>
      </w:r>
    </w:p>
    <w:p>
      <w:r>
        <w:t>Sources checked 26 September 2026. Record task, language, partner, supports and meaningful examples before interpreting a number.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864" w:left="936" w:header="144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Edition 3  |  September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368" w:val="right"/>
      </w:tabs>
      <w:spacing w:after="0" w:before="0"/>
    </w:pPr>
    <w:r>
      <w:drawing>
        <wp:inline xmlns:a="http://schemas.openxmlformats.org/drawingml/2006/main" xmlns:pic="http://schemas.openxmlformats.org/drawingml/2006/picture">
          <wp:extent cx="423706" cy="321777"/>
          <wp:docPr id="1" name="Picture 1" descr="BEaR Lab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earlab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706" cy="321777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ab/>
      <w:t>CLINICAL PRACTICUM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6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0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hyperlink" Target="https://www.asha.org/practice-portal/professional-issues/multilingual-service-delivery/" TargetMode="External"/><Relationship Id="rId15" Type="http://schemas.openxmlformats.org/officeDocument/2006/relationships/hyperlink" Target="https://doi.org/10.1055/s-0029-1241722" TargetMode="External"/><Relationship Id="rId16" Type="http://schemas.openxmlformats.org/officeDocument/2006/relationships/hyperlink" Target="https://doi.org/10.1044/0161-1461(2004/016)" TargetMode="External"/><Relationship Id="rId17" Type="http://schemas.openxmlformats.org/officeDocument/2006/relationships/hyperlink" Target="https://doi.org/10.1044/2024_JSLHR-23-00778" TargetMode="External"/><Relationship Id="rId18" Type="http://schemas.openxmlformats.org/officeDocument/2006/relationships/hyperlink" Target="https://www.saltsoftware.com/resources" TargetMode="External"/><Relationship Id="rId19" Type="http://schemas.openxmlformats.org/officeDocument/2006/relationships/hyperlink" Target="https://www.saltsoftware.com/resources/elicaids" TargetMode="External"/><Relationship Id="rId20" Type="http://schemas.openxmlformats.org/officeDocument/2006/relationships/hyperlink" Target="https://doi.org/10.1044/2025_AJSLP-25-00201" TargetMode="External"/><Relationship Id="rId21" Type="http://schemas.openxmlformats.org/officeDocument/2006/relationships/hyperlink" Target="https://www.leadersproject.org/en/category/slam" TargetMode="External"/><Relationship Id="rId22" Type="http://schemas.openxmlformats.org/officeDocument/2006/relationships/hyperlink" Target="https://bilinguistics.com/evaluation-resources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and English language sampling</dc:title>
  <dc:subject>An illustrated practicum for collection and interpretation</dc:subject>
  <dc:creator>BEaR Lab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