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QUICK MANUAL</w:t>
      </w:r>
    </w:p>
    <w:p>
      <w:pPr>
        <w:pStyle w:val="Title"/>
      </w:pPr>
      <w:r>
        <w:t>Spanish English assessment comparison manual</w:t>
      </w:r>
    </w:p>
    <w:p>
      <w:r>
        <w:rPr>
          <w:sz w:val="22"/>
        </w:rPr>
        <w:t>Named tools, population fit and diagnostic accuracy you can trace to a source</w:t>
      </w:r>
    </w:p>
    <w:p>
      <w:r>
        <w:t>A practical comparison of named tests, structured samples and learning-based methods for Spanish-English children.</w:t>
      </w:r>
    </w:p>
    <w:p>
      <w:r>
        <w:drawing>
          <wp:inline xmlns:a="http://schemas.openxmlformats.org/drawingml/2006/main" xmlns:pic="http://schemas.openxmlformats.org/drawingml/2006/picture">
            <wp:extent cx="6217920" cy="1298854"/>
            <wp:docPr id="1" name="Picture 1" descr="Clinical workflow. Fit: Age, languages, schooling and access; Purpose: Diagnosis, description or monitoring; Evidence: Exact edition, score and sample; Decision: Converging findings and next step"/>
            <wp:cNvGraphicFramePr>
              <a:graphicFrameLocks noChangeAspect="1"/>
            </wp:cNvGraphicFramePr>
            <a:graphic>
              <a:graphicData uri="http://schemas.openxmlformats.org/drawingml/2006/picture">
                <pic:pic>
                  <pic:nvPicPr>
                    <pic:cNvPr id="0" name="09_visual_1.png"/>
                    <pic:cNvPicPr/>
                  </pic:nvPicPr>
                  <pic:blipFill>
                    <a:blip r:embed="rId11"/>
                    <a:stretch>
                      <a:fillRect/>
                    </a:stretch>
                  </pic:blipFill>
                  <pic:spPr>
                    <a:xfrm>
                      <a:off x="0" y="0"/>
                      <a:ext cx="6217920" cy="1298854"/>
                    </a:xfrm>
                    <a:prstGeom prst="rect"/>
                  </pic:spPr>
                </pic:pic>
              </a:graphicData>
            </a:graphic>
          </wp:inline>
        </w:drawing>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315985"/>
            <w:tcMar>
              <w:top w:w="100" w:type="dxa"/>
              <w:bottom w:w="100" w:type="dxa"/>
              <w:left w:w="100" w:type="dxa"/>
              <w:right w:w="100" w:type="dxa"/>
            </w:tcMar>
          </w:tcPr>
          <w:p>
            <w:pPr>
              <w:spacing w:after="20" w:before="20" w:line="247" w:lineRule="auto"/>
            </w:pPr>
            <w:r>
              <w:rPr>
                <w:b/>
                <w:color w:val="FFFFFF"/>
                <w:sz w:val="18"/>
              </w:rPr>
              <w:t>If you need to…</w:t>
            </w:r>
          </w:p>
        </w:tc>
        <w:tc>
          <w:tcPr>
            <w:tcW w:type="dxa" w:w="5184"/>
            <w:shd w:fill="315985"/>
            <w:tcMar>
              <w:top w:w="100" w:type="dxa"/>
              <w:bottom w:w="100" w:type="dxa"/>
              <w:left w:w="100" w:type="dxa"/>
              <w:right w:w="100" w:type="dxa"/>
            </w:tcMar>
          </w:tcPr>
          <w:p>
            <w:pPr>
              <w:spacing w:after="20" w:before="20" w:line="247" w:lineRule="auto"/>
            </w:pPr>
            <w:r>
              <w:rPr>
                <w:b/>
                <w:color w:val="FFFFFF"/>
                <w:sz w:val="18"/>
              </w:rPr>
              <w:t>Open this section</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Compare language tests and accuracy</w:t>
            </w:r>
          </w:p>
        </w:tc>
        <w:tc>
          <w:tcPr>
            <w:tcW w:type="dxa" w:w="5184"/>
            <w:shd w:fill="FFFFFF"/>
            <w:tcMar>
              <w:top w:w="100" w:type="dxa"/>
              <w:bottom w:w="100" w:type="dxa"/>
              <w:left w:w="100" w:type="dxa"/>
              <w:right w:w="100" w:type="dxa"/>
            </w:tcMar>
          </w:tcPr>
          <w:p>
            <w:pPr>
              <w:spacing w:after="20" w:before="20" w:line="247" w:lineRule="auto"/>
            </w:pPr>
            <w:r>
              <w:rPr>
                <w:sz w:val="18"/>
              </w:rPr>
              <w:t>Pages 2–8</w:t>
            </w:r>
          </w:p>
        </w:tc>
      </w:tr>
      <w:tr>
        <w:trPr>
          <w:cantSplit/>
        </w:trPr>
        <w:tc>
          <w:tcPr>
            <w:tcW w:type="dxa" w:w="5184"/>
            <w:shd w:fill="EFF4F8"/>
            <w:tcMar>
              <w:top w:w="100" w:type="dxa"/>
              <w:bottom w:w="100" w:type="dxa"/>
              <w:left w:w="100" w:type="dxa"/>
              <w:right w:w="100" w:type="dxa"/>
            </w:tcMar>
          </w:tcPr>
          <w:p>
            <w:pPr>
              <w:spacing w:after="20" w:before="20" w:line="247" w:lineRule="auto"/>
            </w:pPr>
            <w:r>
              <w:rPr>
                <w:sz w:val="18"/>
              </w:rPr>
              <w:t>Compare speech and vocabulary tools</w:t>
            </w:r>
          </w:p>
        </w:tc>
        <w:tc>
          <w:tcPr>
            <w:tcW w:type="dxa" w:w="5184"/>
            <w:shd w:fill="EFF4F8"/>
            <w:tcMar>
              <w:top w:w="100" w:type="dxa"/>
              <w:bottom w:w="100" w:type="dxa"/>
              <w:left w:w="100" w:type="dxa"/>
              <w:right w:w="100" w:type="dxa"/>
            </w:tcMar>
          </w:tcPr>
          <w:p>
            <w:pPr>
              <w:spacing w:after="20" w:before="20" w:line="247" w:lineRule="auto"/>
            </w:pPr>
            <w:r>
              <w:rPr>
                <w:sz w:val="18"/>
              </w:rPr>
              <w:t>Pages 9–10</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Choose narrative or learning measures</w:t>
            </w:r>
          </w:p>
        </w:tc>
        <w:tc>
          <w:tcPr>
            <w:tcW w:type="dxa" w:w="5184"/>
            <w:shd w:fill="FFFFFF"/>
            <w:tcMar>
              <w:top w:w="100" w:type="dxa"/>
              <w:bottom w:w="100" w:type="dxa"/>
              <w:left w:w="100" w:type="dxa"/>
              <w:right w:w="100" w:type="dxa"/>
            </w:tcMar>
          </w:tcPr>
          <w:p>
            <w:pPr>
              <w:spacing w:after="20" w:before="20" w:line="247" w:lineRule="auto"/>
            </w:pPr>
            <w:r>
              <w:rPr>
                <w:sz w:val="18"/>
              </w:rPr>
              <w:t>Page 11</w:t>
            </w:r>
          </w:p>
        </w:tc>
      </w:tr>
      <w:tr>
        <w:trPr>
          <w:cantSplit/>
        </w:trPr>
        <w:tc>
          <w:tcPr>
            <w:tcW w:type="dxa" w:w="5184"/>
            <w:shd w:fill="EFF4F8"/>
            <w:tcMar>
              <w:top w:w="100" w:type="dxa"/>
              <w:bottom w:w="100" w:type="dxa"/>
              <w:left w:w="100" w:type="dxa"/>
              <w:right w:w="100" w:type="dxa"/>
            </w:tcMar>
          </w:tcPr>
          <w:p>
            <w:pPr>
              <w:spacing w:after="20" w:before="20" w:line="247" w:lineRule="auto"/>
            </w:pPr>
            <w:r>
              <w:rPr>
                <w:sz w:val="18"/>
              </w:rPr>
              <w:t>Interpret accuracy in context</w:t>
            </w:r>
          </w:p>
        </w:tc>
        <w:tc>
          <w:tcPr>
            <w:tcW w:type="dxa" w:w="5184"/>
            <w:shd w:fill="EFF4F8"/>
            <w:tcMar>
              <w:top w:w="100" w:type="dxa"/>
              <w:bottom w:w="100" w:type="dxa"/>
              <w:left w:w="100" w:type="dxa"/>
              <w:right w:w="100" w:type="dxa"/>
            </w:tcMar>
          </w:tcPr>
          <w:p>
            <w:pPr>
              <w:spacing w:after="20" w:before="20" w:line="247" w:lineRule="auto"/>
            </w:pPr>
            <w:r>
              <w:rPr>
                <w:sz w:val="18"/>
              </w:rPr>
              <w:t>Page 12</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Plan a case and record the evidence</w:t>
            </w:r>
          </w:p>
        </w:tc>
        <w:tc>
          <w:tcPr>
            <w:tcW w:type="dxa" w:w="5184"/>
            <w:shd w:fill="FFFFFF"/>
            <w:tcMar>
              <w:top w:w="100" w:type="dxa"/>
              <w:bottom w:w="100" w:type="dxa"/>
              <w:left w:w="100" w:type="dxa"/>
              <w:right w:w="100" w:type="dxa"/>
            </w:tcMar>
          </w:tcPr>
          <w:p>
            <w:pPr>
              <w:spacing w:after="20" w:before="20" w:line="247" w:lineRule="auto"/>
            </w:pPr>
            <w:r>
              <w:rPr>
                <w:sz w:val="18"/>
              </w:rPr>
              <w:t>Pages 13–14</w:t>
            </w:r>
          </w:p>
        </w:tc>
      </w:tr>
      <w:tr>
        <w:trPr>
          <w:cantSplit/>
        </w:trPr>
        <w:tc>
          <w:tcPr>
            <w:tcW w:type="dxa" w:w="5184"/>
            <w:shd w:fill="EFF4F8"/>
            <w:tcMar>
              <w:top w:w="100" w:type="dxa"/>
              <w:bottom w:w="100" w:type="dxa"/>
              <w:left w:w="100" w:type="dxa"/>
              <w:right w:w="100" w:type="dxa"/>
            </w:tcMar>
          </w:tcPr>
          <w:p>
            <w:pPr>
              <w:spacing w:after="20" w:before="20" w:line="247" w:lineRule="auto"/>
            </w:pPr>
            <w:r>
              <w:rPr>
                <w:sz w:val="18"/>
              </w:rPr>
              <w:t>Check sources and evidence levels</w:t>
            </w:r>
          </w:p>
        </w:tc>
        <w:tc>
          <w:tcPr>
            <w:tcW w:type="dxa" w:w="5184"/>
            <w:shd w:fill="EFF4F8"/>
            <w:tcMar>
              <w:top w:w="100" w:type="dxa"/>
              <w:bottom w:w="100" w:type="dxa"/>
              <w:left w:w="100" w:type="dxa"/>
              <w:right w:w="100" w:type="dxa"/>
            </w:tcMar>
          </w:tcPr>
          <w:p>
            <w:pPr>
              <w:spacing w:after="20" w:before="20" w:line="247" w:lineRule="auto"/>
            </w:pPr>
            <w:r>
              <w:rPr>
                <w:sz w:val="18"/>
              </w:rPr>
              <w:t>Pages 15–18</w:t>
            </w:r>
          </w:p>
        </w:tc>
      </w:tr>
    </w:tbl>
    <w:p>
      <w:pPr>
        <w:spacing w:after="20"/>
      </w:pPr>
    </w:p>
    <w:p>
      <w:pPr>
        <w:pStyle w:val="Heading3"/>
      </w:pPr>
      <w:r>
        <w:t>Read every accuracy pair with its conditions</w:t>
      </w:r>
    </w:p>
    <w:p>
      <w:r>
        <w:t>Sensitivity is the proportion of children with the target disorder correctly identified. Specificity is the proportion without it correctly classified. Both depend on the sample, reference standard, score and cutoff. They are not a child’s probability of having a disorder.</w:t>
      </w:r>
    </w:p>
    <w:p>
      <w:r/>
      <w:r>
        <w:rPr>
          <w:b/>
        </w:rPr>
        <w:t>Scope:</w:t>
      </w:r>
      <w:r>
        <w:t xml:space="preserve"> Selected pediatric resources, checked September 27, 2026. Figures are labeled as primary publisher data, secondary manual reports, or study results. “Not verified” means the accessed sources did not establish the value. It does not mean zero accuracy. Authorized manuals remain necessary for administration and scoring.</w:t>
      </w:r>
    </w:p>
    <w:p>
      <w:r/>
      <w:r>
        <w:rPr>
          <w:b/>
        </w:rPr>
        <w:t>For an English-speaking SLP:</w:t>
      </w:r>
      <w:r>
        <w:t xml:space="preserve"> Plan Spanish access with a qualified bilingual SLP and/or trained interpreter, consistent with each tool’s requirements. Clinical interpretation remains the SLP’s responsibility. See the companion Working with Interpreters manual and desk checklist. [1, 25]</w:t>
      </w:r>
    </w:p>
    <w:p>
      <w:r>
        <w:br w:type="page"/>
      </w:r>
    </w:p>
    <w:p>
      <w:r>
        <w:rPr>
          <w:sz w:val="18"/>
        </w:rPr>
        <w:t>COMPARE THE POPULATION</w:t>
      </w:r>
    </w:p>
    <w:p>
      <w:pPr>
        <w:pStyle w:val="Heading1"/>
      </w:pPr>
      <w:r>
        <w:t>Language tests at a glance</w:t>
      </w:r>
    </w:p>
    <w:p>
      <w:r>
        <w:t>Ages use years;months. A Spanish edition can have a very different population from another Spanish edition.</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07"/>
        <w:gridCol w:w="4557"/>
        <w:gridCol w:w="3304"/>
      </w:tblGrid>
      <w:tr>
        <w:trPr>
          <w:cantSplit/>
          <w:tblHeader/>
        </w:trPr>
        <w:tc>
          <w:tcPr>
            <w:tcW w:type="dxa" w:w="2507"/>
            <w:shd w:fill="315985"/>
            <w:tcMar>
              <w:top w:w="100" w:type="dxa"/>
              <w:bottom w:w="100" w:type="dxa"/>
              <w:left w:w="100" w:type="dxa"/>
              <w:right w:w="100" w:type="dxa"/>
            </w:tcMar>
          </w:tcPr>
          <w:p>
            <w:pPr>
              <w:spacing w:after="20" w:before="20" w:line="247" w:lineRule="auto"/>
            </w:pPr>
            <w:r>
              <w:rPr>
                <w:b/>
                <w:color w:val="FFFFFF"/>
                <w:sz w:val="18"/>
              </w:rPr>
              <w:t>Tool and age</w:t>
            </w:r>
          </w:p>
        </w:tc>
        <w:tc>
          <w:tcPr>
            <w:tcW w:type="dxa" w:w="4557"/>
            <w:shd w:fill="315985"/>
            <w:tcMar>
              <w:top w:w="100" w:type="dxa"/>
              <w:bottom w:w="100" w:type="dxa"/>
              <w:left w:w="100" w:type="dxa"/>
              <w:right w:w="100" w:type="dxa"/>
            </w:tcMar>
          </w:tcPr>
          <w:p>
            <w:pPr>
              <w:spacing w:after="20" w:before="20" w:line="247" w:lineRule="auto"/>
            </w:pPr>
            <w:r>
              <w:rPr>
                <w:b/>
                <w:color w:val="FFFFFF"/>
                <w:sz w:val="18"/>
              </w:rPr>
              <w:t>Population and normative sample</w:t>
            </w:r>
          </w:p>
        </w:tc>
        <w:tc>
          <w:tcPr>
            <w:tcW w:type="dxa" w:w="3304"/>
            <w:shd w:fill="315985"/>
            <w:tcMar>
              <w:top w:w="100" w:type="dxa"/>
              <w:bottom w:w="100" w:type="dxa"/>
              <w:left w:w="100" w:type="dxa"/>
              <w:right w:w="100" w:type="dxa"/>
            </w:tcMar>
          </w:tcPr>
          <w:p>
            <w:pPr>
              <w:spacing w:after="20" w:before="20" w:line="247" w:lineRule="auto"/>
            </w:pPr>
            <w:r>
              <w:rPr>
                <w:b/>
                <w:color w:val="FFFFFF"/>
                <w:sz w:val="18"/>
              </w:rPr>
              <w:t>Potential use</w:t>
            </w:r>
          </w:p>
        </w:tc>
      </w:tr>
      <w:tr>
        <w:trPr>
          <w:cantSplit/>
        </w:trPr>
        <w:tc>
          <w:tcPr>
            <w:tcW w:type="dxa" w:w="2507"/>
            <w:shd w:fill="FFFFFF"/>
            <w:tcMar>
              <w:top w:w="100" w:type="dxa"/>
              <w:bottom w:w="100" w:type="dxa"/>
              <w:left w:w="100" w:type="dxa"/>
              <w:right w:w="100" w:type="dxa"/>
            </w:tcMar>
          </w:tcPr>
          <w:p>
            <w:pPr>
              <w:spacing w:after="20" w:before="20" w:line="247" w:lineRule="auto"/>
            </w:pPr>
            <w:r>
              <w:rPr>
                <w:sz w:val="18"/>
              </w:rPr>
              <w:t>BESA</w:t>
              <w:br/>
              <w:t>4;0–6;11</w:t>
            </w:r>
          </w:p>
        </w:tc>
        <w:tc>
          <w:tcPr>
            <w:tcW w:type="dxa" w:w="4557"/>
            <w:shd w:fill="FFFFFF"/>
            <w:tcMar>
              <w:top w:w="100" w:type="dxa"/>
              <w:bottom w:w="100" w:type="dxa"/>
              <w:left w:w="100" w:type="dxa"/>
              <w:right w:w="100" w:type="dxa"/>
            </w:tcMar>
          </w:tcPr>
          <w:p>
            <w:pPr>
              <w:spacing w:after="20" w:before="20" w:line="247" w:lineRule="auto"/>
            </w:pPr>
            <w:r>
              <w:rPr>
                <w:sz w:val="18"/>
              </w:rPr>
              <w:t>Spanish-English profiles; N=756 in manual audit. Publisher lists 17 Spanish and 7 English varieties. [2, 3]</w:t>
            </w:r>
          </w:p>
        </w:tc>
        <w:tc>
          <w:tcPr>
            <w:tcW w:type="dxa" w:w="3304"/>
            <w:shd w:fill="FFFFFF"/>
            <w:tcMar>
              <w:top w:w="100" w:type="dxa"/>
              <w:bottom w:w="100" w:type="dxa"/>
              <w:left w:w="100" w:type="dxa"/>
              <w:right w:w="100" w:type="dxa"/>
            </w:tcMar>
          </w:tcPr>
          <w:p>
            <w:pPr>
              <w:spacing w:after="20" w:before="20" w:line="247" w:lineRule="auto"/>
            </w:pPr>
            <w:r>
              <w:rPr>
                <w:sz w:val="18"/>
              </w:rPr>
              <w:t>Language-specific semantics, morphosyntax and phonology</w:t>
            </w:r>
          </w:p>
        </w:tc>
      </w:tr>
      <w:tr>
        <w:trPr>
          <w:cantSplit/>
        </w:trPr>
        <w:tc>
          <w:tcPr>
            <w:tcW w:type="dxa" w:w="2507"/>
            <w:shd w:fill="EFF4F8"/>
            <w:tcMar>
              <w:top w:w="100" w:type="dxa"/>
              <w:bottom w:w="100" w:type="dxa"/>
              <w:left w:w="100" w:type="dxa"/>
              <w:right w:w="100" w:type="dxa"/>
            </w:tcMar>
          </w:tcPr>
          <w:p>
            <w:pPr>
              <w:spacing w:after="20" w:before="20" w:line="247" w:lineRule="auto"/>
            </w:pPr>
            <w:r>
              <w:rPr>
                <w:sz w:val="18"/>
              </w:rPr>
              <w:t>PLS-5 Spanish</w:t>
              <w:br/>
              <w:t>Birth–7;11</w:t>
            </w:r>
          </w:p>
        </w:tc>
        <w:tc>
          <w:tcPr>
            <w:tcW w:type="dxa" w:w="4557"/>
            <w:shd w:fill="EFF4F8"/>
            <w:tcMar>
              <w:top w:w="100" w:type="dxa"/>
              <w:bottom w:w="100" w:type="dxa"/>
              <w:left w:w="100" w:type="dxa"/>
              <w:right w:w="100" w:type="dxa"/>
            </w:tcMar>
          </w:tcPr>
          <w:p>
            <w:pPr>
              <w:spacing w:after="20" w:before="20" w:line="247" w:lineRule="auto"/>
            </w:pPr>
            <w:r>
              <w:rPr>
                <w:sz w:val="18"/>
              </w:rPr>
              <w:t>US/Puerto Rico; Spanish-speaking monolingual and bilingual children. N=1,150. [5]</w:t>
            </w:r>
          </w:p>
        </w:tc>
        <w:tc>
          <w:tcPr>
            <w:tcW w:type="dxa" w:w="3304"/>
            <w:shd w:fill="EFF4F8"/>
            <w:tcMar>
              <w:top w:w="100" w:type="dxa"/>
              <w:bottom w:w="100" w:type="dxa"/>
              <w:left w:w="100" w:type="dxa"/>
              <w:right w:w="100" w:type="dxa"/>
            </w:tcMar>
          </w:tcPr>
          <w:p>
            <w:pPr>
              <w:spacing w:after="20" w:before="20" w:line="247" w:lineRule="auto"/>
            </w:pPr>
            <w:r>
              <w:rPr>
                <w:sz w:val="18"/>
              </w:rPr>
              <w:t>Early receptive/expressive profile; prescribed dual-language procedure</w:t>
            </w:r>
          </w:p>
        </w:tc>
      </w:tr>
      <w:tr>
        <w:trPr>
          <w:cantSplit/>
        </w:trPr>
        <w:tc>
          <w:tcPr>
            <w:tcW w:type="dxa" w:w="2507"/>
            <w:shd w:fill="FFFFFF"/>
            <w:tcMar>
              <w:top w:w="100" w:type="dxa"/>
              <w:bottom w:w="100" w:type="dxa"/>
              <w:left w:w="100" w:type="dxa"/>
              <w:right w:w="100" w:type="dxa"/>
            </w:tcMar>
          </w:tcPr>
          <w:p>
            <w:pPr>
              <w:spacing w:after="20" w:before="20" w:line="247" w:lineRule="auto"/>
            </w:pPr>
            <w:r>
              <w:rPr>
                <w:sz w:val="18"/>
              </w:rPr>
              <w:t>PLS-5 English US</w:t>
              <w:br/>
              <w:t>Birth–7;11</w:t>
            </w:r>
          </w:p>
        </w:tc>
        <w:tc>
          <w:tcPr>
            <w:tcW w:type="dxa" w:w="4557"/>
            <w:shd w:fill="FFFFFF"/>
            <w:tcMar>
              <w:top w:w="100" w:type="dxa"/>
              <w:bottom w:w="100" w:type="dxa"/>
              <w:left w:w="100" w:type="dxa"/>
              <w:right w:w="100" w:type="dxa"/>
            </w:tcMar>
          </w:tcPr>
          <w:p>
            <w:pPr>
              <w:spacing w:after="20" w:before="20" w:line="247" w:lineRule="auto"/>
            </w:pPr>
            <w:r>
              <w:rPr>
                <w:sz w:val="18"/>
              </w:rPr>
              <w:t>English-primary norm group. N=1,400 US children reported by publisher. [7, 8]</w:t>
            </w:r>
          </w:p>
        </w:tc>
        <w:tc>
          <w:tcPr>
            <w:tcW w:type="dxa" w:w="3304"/>
            <w:shd w:fill="FFFFFF"/>
            <w:tcMar>
              <w:top w:w="100" w:type="dxa"/>
              <w:bottom w:w="100" w:type="dxa"/>
              <w:left w:w="100" w:type="dxa"/>
              <w:right w:w="100" w:type="dxa"/>
            </w:tcMar>
          </w:tcPr>
          <w:p>
            <w:pPr>
              <w:spacing w:after="20" w:before="20" w:line="247" w:lineRule="auto"/>
            </w:pPr>
            <w:r>
              <w:rPr>
                <w:sz w:val="18"/>
              </w:rPr>
              <w:t>English developmental profile when norms and procedure fit</w:t>
            </w:r>
          </w:p>
        </w:tc>
      </w:tr>
      <w:tr>
        <w:trPr>
          <w:cantSplit/>
        </w:trPr>
        <w:tc>
          <w:tcPr>
            <w:tcW w:type="dxa" w:w="2507"/>
            <w:shd w:fill="EFF4F8"/>
            <w:tcMar>
              <w:top w:w="100" w:type="dxa"/>
              <w:bottom w:w="100" w:type="dxa"/>
              <w:left w:w="100" w:type="dxa"/>
              <w:right w:w="100" w:type="dxa"/>
            </w:tcMar>
          </w:tcPr>
          <w:p>
            <w:pPr>
              <w:spacing w:after="20" w:before="20" w:line="247" w:lineRule="auto"/>
            </w:pPr>
            <w:r>
              <w:rPr>
                <w:sz w:val="18"/>
              </w:rPr>
              <w:t>CELF Preschool-2 Spanish</w:t>
              <w:br/>
              <w:t>3;0–6;11</w:t>
            </w:r>
          </w:p>
        </w:tc>
        <w:tc>
          <w:tcPr>
            <w:tcW w:type="dxa" w:w="4557"/>
            <w:shd w:fill="EFF4F8"/>
            <w:tcMar>
              <w:top w:w="100" w:type="dxa"/>
              <w:bottom w:w="100" w:type="dxa"/>
              <w:left w:w="100" w:type="dxa"/>
              <w:right w:w="100" w:type="dxa"/>
            </w:tcMar>
          </w:tcPr>
          <w:p>
            <w:pPr>
              <w:spacing w:after="20" w:before="20" w:line="247" w:lineRule="auto"/>
            </w:pPr>
            <w:r>
              <w:rPr>
                <w:sz w:val="18"/>
              </w:rPr>
              <w:t>Publisher norm sample: more than 450 monolingual/bilingual Spanish-speaking children. [28]</w:t>
            </w:r>
          </w:p>
        </w:tc>
        <w:tc>
          <w:tcPr>
            <w:tcW w:type="dxa" w:w="3304"/>
            <w:shd w:fill="EFF4F8"/>
            <w:tcMar>
              <w:top w:w="100" w:type="dxa"/>
              <w:bottom w:w="100" w:type="dxa"/>
              <w:left w:w="100" w:type="dxa"/>
              <w:right w:w="100" w:type="dxa"/>
            </w:tcMar>
          </w:tcPr>
          <w:p>
            <w:pPr>
              <w:spacing w:after="20" w:before="20" w:line="247" w:lineRule="auto"/>
            </w:pPr>
            <w:r>
              <w:rPr>
                <w:sz w:val="18"/>
              </w:rPr>
              <w:t>Spanish preschool language structure and content</w:t>
            </w:r>
          </w:p>
        </w:tc>
      </w:tr>
      <w:tr>
        <w:trPr>
          <w:cantSplit/>
        </w:trPr>
        <w:tc>
          <w:tcPr>
            <w:tcW w:type="dxa" w:w="2507"/>
            <w:shd w:fill="FFFFFF"/>
            <w:tcMar>
              <w:top w:w="100" w:type="dxa"/>
              <w:bottom w:w="100" w:type="dxa"/>
              <w:left w:w="100" w:type="dxa"/>
              <w:right w:w="100" w:type="dxa"/>
            </w:tcMar>
          </w:tcPr>
          <w:p>
            <w:pPr>
              <w:spacing w:after="20" w:before="20" w:line="247" w:lineRule="auto"/>
            </w:pPr>
            <w:r>
              <w:rPr>
                <w:sz w:val="18"/>
              </w:rPr>
              <w:t>CELF-4 Spanish US</w:t>
              <w:br/>
              <w:t>5;0–21;11</w:t>
            </w:r>
          </w:p>
        </w:tc>
        <w:tc>
          <w:tcPr>
            <w:tcW w:type="dxa" w:w="4557"/>
            <w:shd w:fill="FFFFFF"/>
            <w:tcMar>
              <w:top w:w="100" w:type="dxa"/>
              <w:bottom w:w="100" w:type="dxa"/>
              <w:left w:w="100" w:type="dxa"/>
              <w:right w:w="100" w:type="dxa"/>
            </w:tcMar>
          </w:tcPr>
          <w:p>
            <w:pPr>
              <w:spacing w:after="20" w:before="20" w:line="247" w:lineRule="auto"/>
            </w:pPr>
            <w:r>
              <w:rPr>
                <w:sz w:val="18"/>
              </w:rPr>
              <w:t>US Spanish-speaking monolingual/bilingual group. Normative N not verified here. [9]</w:t>
            </w:r>
          </w:p>
        </w:tc>
        <w:tc>
          <w:tcPr>
            <w:tcW w:type="dxa" w:w="3304"/>
            <w:shd w:fill="FFFFFF"/>
            <w:tcMar>
              <w:top w:w="100" w:type="dxa"/>
              <w:bottom w:w="100" w:type="dxa"/>
              <w:left w:w="100" w:type="dxa"/>
              <w:right w:w="100" w:type="dxa"/>
            </w:tcMar>
          </w:tcPr>
          <w:p>
            <w:pPr>
              <w:spacing w:after="20" w:before="20" w:line="247" w:lineRule="auto"/>
            </w:pPr>
            <w:r>
              <w:rPr>
                <w:sz w:val="18"/>
              </w:rPr>
              <w:t>Spanish structural-language information</w:t>
            </w:r>
          </w:p>
        </w:tc>
      </w:tr>
      <w:tr>
        <w:trPr>
          <w:cantSplit/>
        </w:trPr>
        <w:tc>
          <w:tcPr>
            <w:tcW w:type="dxa" w:w="2507"/>
            <w:shd w:fill="EFF4F8"/>
            <w:tcMar>
              <w:top w:w="100" w:type="dxa"/>
              <w:bottom w:w="100" w:type="dxa"/>
              <w:left w:w="100" w:type="dxa"/>
              <w:right w:w="100" w:type="dxa"/>
            </w:tcMar>
          </w:tcPr>
          <w:p>
            <w:pPr>
              <w:spacing w:after="20" w:before="20" w:line="247" w:lineRule="auto"/>
            </w:pPr>
            <w:r>
              <w:rPr>
                <w:sz w:val="18"/>
              </w:rPr>
              <w:t>CELF-5 English US</w:t>
              <w:br/>
              <w:t>5;0–21;11</w:t>
            </w:r>
          </w:p>
        </w:tc>
        <w:tc>
          <w:tcPr>
            <w:tcW w:type="dxa" w:w="4557"/>
            <w:shd w:fill="EFF4F8"/>
            <w:tcMar>
              <w:top w:w="100" w:type="dxa"/>
              <w:bottom w:w="100" w:type="dxa"/>
              <w:left w:w="100" w:type="dxa"/>
              <w:right w:w="100" w:type="dxa"/>
            </w:tcMar>
          </w:tcPr>
          <w:p>
            <w:pPr>
              <w:spacing w:after="20" w:before="20" w:line="247" w:lineRule="auto"/>
            </w:pPr>
            <w:r>
              <w:rPr>
                <w:sz w:val="18"/>
              </w:rPr>
              <w:t>N=2,380 from 47 states; 20% Hispanic is not a bilingual subgroup count. [13]</w:t>
            </w:r>
          </w:p>
        </w:tc>
        <w:tc>
          <w:tcPr>
            <w:tcW w:type="dxa" w:w="3304"/>
            <w:shd w:fill="EFF4F8"/>
            <w:tcMar>
              <w:top w:w="100" w:type="dxa"/>
              <w:bottom w:w="100" w:type="dxa"/>
              <w:left w:w="100" w:type="dxa"/>
              <w:right w:w="100" w:type="dxa"/>
            </w:tcMar>
          </w:tcPr>
          <w:p>
            <w:pPr>
              <w:spacing w:after="20" w:before="20" w:line="247" w:lineRule="auto"/>
            </w:pPr>
            <w:r>
              <w:rPr>
                <w:sz w:val="18"/>
              </w:rPr>
              <w:t>English language structure and content</w:t>
            </w:r>
          </w:p>
        </w:tc>
      </w:tr>
      <w:tr>
        <w:trPr>
          <w:cantSplit/>
        </w:trPr>
        <w:tc>
          <w:tcPr>
            <w:tcW w:type="dxa" w:w="2507"/>
            <w:shd w:fill="FFFFFF"/>
            <w:tcMar>
              <w:top w:w="100" w:type="dxa"/>
              <w:bottom w:w="100" w:type="dxa"/>
              <w:left w:w="100" w:type="dxa"/>
              <w:right w:w="100" w:type="dxa"/>
            </w:tcMar>
          </w:tcPr>
          <w:p>
            <w:pPr>
              <w:spacing w:after="20" w:before="20" w:line="247" w:lineRule="auto"/>
            </w:pPr>
            <w:r>
              <w:rPr>
                <w:sz w:val="18"/>
              </w:rPr>
              <w:t>CELF-5 Spain</w:t>
              <w:br/>
              <w:t>5;0–15;11</w:t>
            </w:r>
          </w:p>
        </w:tc>
        <w:tc>
          <w:tcPr>
            <w:tcW w:type="dxa" w:w="4557"/>
            <w:shd w:fill="FFFFFF"/>
            <w:tcMar>
              <w:top w:w="100" w:type="dxa"/>
              <w:bottom w:w="100" w:type="dxa"/>
              <w:left w:w="100" w:type="dxa"/>
              <w:right w:w="100" w:type="dxa"/>
            </w:tcMar>
          </w:tcPr>
          <w:p>
            <w:pPr>
              <w:spacing w:after="20" w:before="20" w:line="247" w:lineRule="auto"/>
            </w:pPr>
            <w:r>
              <w:rPr>
                <w:sz w:val="18"/>
              </w:rPr>
              <w:t>Spain norm group; Spanish first language at home. N=922 in 11 age groups. [11, 36]</w:t>
            </w:r>
          </w:p>
        </w:tc>
        <w:tc>
          <w:tcPr>
            <w:tcW w:type="dxa" w:w="3304"/>
            <w:shd w:fill="FFFFFF"/>
            <w:tcMar>
              <w:top w:w="100" w:type="dxa"/>
              <w:bottom w:w="100" w:type="dxa"/>
              <w:left w:w="100" w:type="dxa"/>
              <w:right w:w="100" w:type="dxa"/>
            </w:tcMar>
          </w:tcPr>
          <w:p>
            <w:pPr>
              <w:spacing w:after="20" w:before="20" w:line="247" w:lineRule="auto"/>
            </w:pPr>
            <w:r>
              <w:rPr>
                <w:sz w:val="18"/>
              </w:rPr>
              <w:t>Population-matched Spanish assessment</w:t>
            </w:r>
          </w:p>
        </w:tc>
      </w:tr>
    </w:tbl>
    <w:p>
      <w:pPr>
        <w:spacing w:after="20"/>
      </w:pPr>
    </w:p>
    <w:p>
      <w:pPr>
        <w:pStyle w:val="Heading3"/>
      </w:pPr>
      <w:r>
        <w:t>The edition check that prevents an avoidable error</w:t>
      </w:r>
    </w:p>
    <w:p>
      <w:r>
        <w:t>CELF-5 Spain is not a new US Spanish norm set. Pearson identifies CELF-4 Spanish as its US-normed Spanish CELF edition. Confirm the exact title, country and manual on the kit. [9, 11]</w:t>
      </w:r>
    </w:p>
    <w:p>
      <w:r>
        <w:br w:type="page"/>
      </w:r>
    </w:p>
    <w:p>
      <w:r>
        <w:rPr>
          <w:sz w:val="18"/>
        </w:rPr>
        <w:t>SAMPLE-SPECIFIC LANGUAGE EVIDENCE</w:t>
      </w:r>
    </w:p>
    <w:p>
      <w:pPr>
        <w:pStyle w:val="Heading1"/>
      </w:pPr>
      <w:r>
        <w:t>Research studies with bilingual children</w:t>
      </w:r>
    </w:p>
    <w:p>
      <w:r>
        <w:t>These figures answer different questions in different samples. They are not a league table.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6598"/>
        <w:gridCol w:w="1885"/>
        <w:gridCol w:w="1885"/>
      </w:tblGrid>
      <w:tr>
        <w:trPr>
          <w:cantSplit/>
          <w:tblHeader/>
        </w:trPr>
        <w:tc>
          <w:tcPr>
            <w:tcW w:type="dxa" w:w="6598"/>
            <w:shd w:fill="315985"/>
            <w:tcMar>
              <w:top w:w="100" w:type="dxa"/>
              <w:bottom w:w="100" w:type="dxa"/>
              <w:left w:w="100" w:type="dxa"/>
              <w:right w:w="100" w:type="dxa"/>
            </w:tcMar>
          </w:tcPr>
          <w:p>
            <w:pPr>
              <w:spacing w:after="20" w:before="20" w:line="247" w:lineRule="auto"/>
            </w:pPr>
            <w:r>
              <w:rPr>
                <w:b/>
                <w:color w:val="FFFFFF"/>
                <w:sz w:val="18"/>
              </w:rPr>
              <w:t>Measure and scoring rule</w:t>
            </w:r>
          </w:p>
        </w:tc>
        <w:tc>
          <w:tcPr>
            <w:tcW w:type="dxa" w:w="1885"/>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885"/>
            <w:shd w:fill="315985"/>
            <w:tcMar>
              <w:top w:w="100" w:type="dxa"/>
              <w:bottom w:w="100" w:type="dxa"/>
              <w:left w:w="100" w:type="dxa"/>
              <w:right w:w="100" w:type="dxa"/>
            </w:tcMar>
          </w:tcPr>
          <w:p>
            <w:pPr>
              <w:spacing w:after="20" w:before="20" w:line="247" w:lineRule="auto"/>
            </w:pPr>
            <w:r>
              <w:rPr>
                <w:b/>
                <w:color w:val="FFFFFF"/>
                <w:sz w:val="18"/>
              </w:rPr>
              <w:t>Specificity</w:t>
            </w:r>
          </w:p>
        </w:tc>
      </w:tr>
      <w:tr>
        <w:trPr>
          <w:cantSplit/>
        </w:trPr>
        <w:tc>
          <w:tcPr>
            <w:tcW w:type="dxa" w:w="6598"/>
            <w:shd w:fill="FFFFFF"/>
            <w:tcMar>
              <w:top w:w="100" w:type="dxa"/>
              <w:bottom w:w="100" w:type="dxa"/>
              <w:left w:w="100" w:type="dxa"/>
              <w:right w:w="100" w:type="dxa"/>
            </w:tcMar>
          </w:tcPr>
          <w:p>
            <w:pPr>
              <w:spacing w:after="20" w:before="20" w:line="247" w:lineRule="auto"/>
            </w:pPr>
            <w:r>
              <w:rPr>
                <w:sz w:val="18"/>
              </w:rPr>
              <w:t>Experimental BESA semantics</w:t>
              <w:br/>
              <w:t>Both languages below study cutoffs: EN 87.81 and ES 85.02 [4]</w:t>
            </w:r>
          </w:p>
        </w:tc>
        <w:tc>
          <w:tcPr>
            <w:tcW w:type="dxa" w:w="1885"/>
            <w:shd w:fill="FFFFFF"/>
            <w:tcMar>
              <w:top w:w="100" w:type="dxa"/>
              <w:bottom w:w="100" w:type="dxa"/>
              <w:left w:w="100" w:type="dxa"/>
              <w:right w:w="100" w:type="dxa"/>
            </w:tcMar>
          </w:tcPr>
          <w:p>
            <w:pPr>
              <w:spacing w:after="20" w:before="20" w:line="247" w:lineRule="auto"/>
            </w:pPr>
            <w:r>
              <w:rPr>
                <w:sz w:val="18"/>
              </w:rPr>
              <w:t>93.3%</w:t>
            </w:r>
          </w:p>
        </w:tc>
        <w:tc>
          <w:tcPr>
            <w:tcW w:type="dxa" w:w="1885"/>
            <w:shd w:fill="FFFFFF"/>
            <w:tcMar>
              <w:top w:w="100" w:type="dxa"/>
              <w:bottom w:w="100" w:type="dxa"/>
              <w:left w:w="100" w:type="dxa"/>
              <w:right w:w="100" w:type="dxa"/>
            </w:tcMar>
          </w:tcPr>
          <w:p>
            <w:pPr>
              <w:spacing w:after="20" w:before="20" w:line="247" w:lineRule="auto"/>
            </w:pPr>
            <w:r>
              <w:rPr>
                <w:sz w:val="18"/>
              </w:rPr>
              <w:t>96.8%</w:t>
            </w:r>
          </w:p>
        </w:tc>
      </w:tr>
      <w:tr>
        <w:trPr>
          <w:cantSplit/>
        </w:trPr>
        <w:tc>
          <w:tcPr>
            <w:tcW w:type="dxa" w:w="6598"/>
            <w:shd w:fill="EFF4F8"/>
            <w:tcMar>
              <w:top w:w="100" w:type="dxa"/>
              <w:bottom w:w="100" w:type="dxa"/>
              <w:left w:w="100" w:type="dxa"/>
              <w:right w:w="100" w:type="dxa"/>
            </w:tcMar>
          </w:tcPr>
          <w:p>
            <w:pPr>
              <w:spacing w:after="20" w:before="20" w:line="247" w:lineRule="auto"/>
            </w:pPr>
            <w:r>
              <w:rPr>
                <w:sz w:val="18"/>
              </w:rPr>
              <w:t>CELF-4 Spanish</w:t>
              <w:br/>
              <w:t>Core Language cutoff 85 [10]</w:t>
            </w:r>
          </w:p>
        </w:tc>
        <w:tc>
          <w:tcPr>
            <w:tcW w:type="dxa" w:w="1885"/>
            <w:shd w:fill="EFF4F8"/>
            <w:tcMar>
              <w:top w:w="100" w:type="dxa"/>
              <w:bottom w:w="100" w:type="dxa"/>
              <w:left w:w="100" w:type="dxa"/>
              <w:right w:w="100" w:type="dxa"/>
            </w:tcMar>
          </w:tcPr>
          <w:p>
            <w:pPr>
              <w:spacing w:after="20" w:before="20" w:line="247" w:lineRule="auto"/>
            </w:pPr>
            <w:r>
              <w:rPr>
                <w:sz w:val="18"/>
              </w:rPr>
              <w:t>About 93–94%</w:t>
            </w:r>
          </w:p>
        </w:tc>
        <w:tc>
          <w:tcPr>
            <w:tcW w:type="dxa" w:w="1885"/>
            <w:shd w:fill="EFF4F8"/>
            <w:tcMar>
              <w:top w:w="100" w:type="dxa"/>
              <w:bottom w:w="100" w:type="dxa"/>
              <w:left w:w="100" w:type="dxa"/>
              <w:right w:w="100" w:type="dxa"/>
            </w:tcMar>
          </w:tcPr>
          <w:p>
            <w:pPr>
              <w:spacing w:after="20" w:before="20" w:line="247" w:lineRule="auto"/>
            </w:pPr>
            <w:r>
              <w:rPr>
                <w:sz w:val="18"/>
              </w:rPr>
              <w:t>65%</w:t>
            </w:r>
          </w:p>
        </w:tc>
      </w:tr>
      <w:tr>
        <w:trPr>
          <w:cantSplit/>
        </w:trPr>
        <w:tc>
          <w:tcPr>
            <w:tcW w:type="dxa" w:w="6598"/>
            <w:shd w:fill="FFFFFF"/>
            <w:tcMar>
              <w:top w:w="100" w:type="dxa"/>
              <w:bottom w:w="100" w:type="dxa"/>
              <w:left w:w="100" w:type="dxa"/>
              <w:right w:w="100" w:type="dxa"/>
            </w:tcMar>
          </w:tcPr>
          <w:p>
            <w:pPr>
              <w:spacing w:after="20" w:before="20" w:line="247" w:lineRule="auto"/>
            </w:pPr>
            <w:r>
              <w:rPr>
                <w:sz w:val="18"/>
              </w:rPr>
              <w:t>CELF-4 Spanish</w:t>
              <w:br/>
              <w:t>Study-derived cutoff 78 [10]</w:t>
            </w:r>
          </w:p>
        </w:tc>
        <w:tc>
          <w:tcPr>
            <w:tcW w:type="dxa" w:w="1885"/>
            <w:shd w:fill="FFFFFF"/>
            <w:tcMar>
              <w:top w:w="100" w:type="dxa"/>
              <w:bottom w:w="100" w:type="dxa"/>
              <w:left w:w="100" w:type="dxa"/>
              <w:right w:w="100" w:type="dxa"/>
            </w:tcMar>
          </w:tcPr>
          <w:p>
            <w:pPr>
              <w:spacing w:after="20" w:before="20" w:line="247" w:lineRule="auto"/>
            </w:pPr>
            <w:r>
              <w:rPr>
                <w:sz w:val="18"/>
              </w:rPr>
              <w:t>86%</w:t>
            </w:r>
          </w:p>
        </w:tc>
        <w:tc>
          <w:tcPr>
            <w:tcW w:type="dxa" w:w="1885"/>
            <w:shd w:fill="FFFFFF"/>
            <w:tcMar>
              <w:top w:w="100" w:type="dxa"/>
              <w:bottom w:w="100" w:type="dxa"/>
              <w:left w:w="100" w:type="dxa"/>
              <w:right w:w="100" w:type="dxa"/>
            </w:tcMar>
          </w:tcPr>
          <w:p>
            <w:pPr>
              <w:spacing w:after="20" w:before="20" w:line="247" w:lineRule="auto"/>
            </w:pPr>
            <w:r>
              <w:rPr>
                <w:sz w:val="18"/>
              </w:rPr>
              <w:t>80%</w:t>
            </w:r>
          </w:p>
        </w:tc>
      </w:tr>
    </w:tbl>
    <w:p>
      <w:pPr>
        <w:spacing w:after="20"/>
      </w:pPr>
    </w:p>
    <w:p>
      <w:r/>
      <w:r>
        <w:rPr>
          <w:b/>
        </w:rPr>
        <w:t>BESA study:</w:t>
      </w:r>
      <w:r>
        <w:t xml:space="preserve"> N=78, including 15 with language impairment, ages 4;0–6;11; 40–60% exposure/use in each language; Texas, California and Pennsylvania. This 2008 experimental semantics result does not validate every current BESA score. Apply current manual rules. [4]</w:t>
      </w:r>
    </w:p>
    <w:p>
      <w:r/>
      <w:r>
        <w:rPr>
          <w:b/>
        </w:rPr>
        <w:t>CELF-4 Spanish study:</w:t>
      </w:r>
      <w:r>
        <w:t xml:space="preserve"> Low-income, Spanish-dominant children in Phoenix-area English-only schools; N=656 overall. Accuracy groups: 28 with language impairment and 265 typical children. Reference classification combined Spanish morphology/samples and English evidence. Sensitivity at 85 is 94% in the abstract, 93% in Results. Cutoff 78 had no independent confirmation. [10]</w:t>
      </w:r>
    </w:p>
    <w:p>
      <w:r/>
      <w:r>
        <w:rPr>
          <w:b/>
        </w:rPr>
        <w:t>Read the source level:</w:t>
      </w:r>
      <w:r>
        <w:t xml:space="preserve"> the BESA study includes test developers; the CELF-4 study is independent of its publisher. Neither sample represents every bilingual profile. More manual-reported Spanish estimates are on page 5.</w:t>
      </w:r>
    </w:p>
    <w:p>
      <w:pPr>
        <w:pStyle w:val="Heading3"/>
      </w:pPr>
      <w:r>
        <w:t>Before using a number</w:t>
      </w:r>
    </w:p>
    <w:p>
      <w:r>
        <w:t>Check age, languages, reference diagnosis, severity spectrum, clinical and typical group sizes, confidence intervals, and whether the cutoff was tested in a new sample. A high point estimate cannot repair poor population fit.</w:t>
      </w:r>
    </w:p>
    <w:p>
      <w:r>
        <w:br w:type="page"/>
      </w:r>
    </w:p>
    <w:p>
      <w:r>
        <w:rPr>
          <w:sz w:val="18"/>
        </w:rPr>
        <w:t>REPORTED MANUAL FIGURES</w:t>
      </w:r>
    </w:p>
    <w:p>
      <w:pPr>
        <w:pStyle w:val="Heading1"/>
      </w:pPr>
      <w:r>
        <w:t>PLS-5: keep the Spanish and English estimates separate</w:t>
      </w:r>
    </w:p>
    <w:p>
      <w:r>
        <w:t>These are secondary reports of diagnostic accuracy, not new validation in every bilingual population.</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988"/>
        <w:gridCol w:w="1418"/>
        <w:gridCol w:w="1418"/>
        <w:gridCol w:w="3545"/>
      </w:tblGrid>
      <w:tr>
        <w:trPr>
          <w:cantSplit/>
          <w:tblHeader/>
        </w:trPr>
        <w:tc>
          <w:tcPr>
            <w:tcW w:type="dxa" w:w="3988"/>
            <w:shd w:fill="315985"/>
            <w:tcMar>
              <w:top w:w="100" w:type="dxa"/>
              <w:bottom w:w="100" w:type="dxa"/>
              <w:left w:w="100" w:type="dxa"/>
              <w:right w:w="100" w:type="dxa"/>
            </w:tcMar>
          </w:tcPr>
          <w:p>
            <w:pPr>
              <w:spacing w:after="20" w:before="20" w:line="247" w:lineRule="auto"/>
            </w:pPr>
            <w:r>
              <w:rPr>
                <w:b/>
                <w:color w:val="FFFFFF"/>
                <w:sz w:val="18"/>
              </w:rPr>
              <w:t>Edition and reported group</w:t>
            </w:r>
          </w:p>
        </w:tc>
        <w:tc>
          <w:tcPr>
            <w:tcW w:type="dxa" w:w="1418"/>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418"/>
            <w:shd w:fill="315985"/>
            <w:tcMar>
              <w:top w:w="100" w:type="dxa"/>
              <w:bottom w:w="100" w:type="dxa"/>
              <w:left w:w="100" w:type="dxa"/>
              <w:right w:w="100" w:type="dxa"/>
            </w:tcMar>
          </w:tcPr>
          <w:p>
            <w:pPr>
              <w:spacing w:after="20" w:before="20" w:line="247" w:lineRule="auto"/>
            </w:pPr>
            <w:r>
              <w:rPr>
                <w:b/>
                <w:color w:val="FFFFFF"/>
                <w:sz w:val="18"/>
              </w:rPr>
              <w:t>Specificity</w:t>
            </w:r>
          </w:p>
        </w:tc>
        <w:tc>
          <w:tcPr>
            <w:tcW w:type="dxa" w:w="3545"/>
            <w:shd w:fill="315985"/>
            <w:tcMar>
              <w:top w:w="100" w:type="dxa"/>
              <w:bottom w:w="100" w:type="dxa"/>
              <w:left w:w="100" w:type="dxa"/>
              <w:right w:w="100" w:type="dxa"/>
            </w:tcMar>
          </w:tcPr>
          <w:p>
            <w:pPr>
              <w:spacing w:after="20" w:before="20" w:line="247" w:lineRule="auto"/>
            </w:pPr>
            <w:r>
              <w:rPr>
                <w:b/>
                <w:color w:val="FFFFFF"/>
                <w:sz w:val="18"/>
              </w:rPr>
              <w:t>Cutoff status</w:t>
            </w:r>
          </w:p>
        </w:tc>
      </w:tr>
      <w:tr>
        <w:trPr>
          <w:cantSplit/>
        </w:trPr>
        <w:tc>
          <w:tcPr>
            <w:tcW w:type="dxa" w:w="3988"/>
            <w:shd w:fill="FFFFFF"/>
            <w:tcMar>
              <w:top w:w="100" w:type="dxa"/>
              <w:bottom w:w="100" w:type="dxa"/>
              <w:left w:w="100" w:type="dxa"/>
              <w:right w:w="100" w:type="dxa"/>
            </w:tcMar>
          </w:tcPr>
          <w:p>
            <w:pPr>
              <w:spacing w:after="20" w:before="20" w:line="247" w:lineRule="auto"/>
            </w:pPr>
            <w:r>
              <w:rPr>
                <w:sz w:val="18"/>
              </w:rPr>
              <w:t>PLS-5 Spanish [29–31]</w:t>
            </w:r>
          </w:p>
        </w:tc>
        <w:tc>
          <w:tcPr>
            <w:tcW w:type="dxa" w:w="1418"/>
            <w:shd w:fill="FFFFFF"/>
            <w:tcMar>
              <w:top w:w="100" w:type="dxa"/>
              <w:bottom w:w="100" w:type="dxa"/>
              <w:left w:w="100" w:type="dxa"/>
              <w:right w:w="100" w:type="dxa"/>
            </w:tcMar>
          </w:tcPr>
          <w:p>
            <w:pPr>
              <w:spacing w:after="20" w:before="20" w:line="247" w:lineRule="auto"/>
            </w:pPr>
            <w:r>
              <w:rPr>
                <w:sz w:val="18"/>
              </w:rPr>
              <w:t>85%</w:t>
            </w:r>
          </w:p>
        </w:tc>
        <w:tc>
          <w:tcPr>
            <w:tcW w:type="dxa" w:w="1418"/>
            <w:shd w:fill="FFFFFF"/>
            <w:tcMar>
              <w:top w:w="100" w:type="dxa"/>
              <w:bottom w:w="100" w:type="dxa"/>
              <w:left w:w="100" w:type="dxa"/>
              <w:right w:w="100" w:type="dxa"/>
            </w:tcMar>
          </w:tcPr>
          <w:p>
            <w:pPr>
              <w:spacing w:after="20" w:before="20" w:line="247" w:lineRule="auto"/>
            </w:pPr>
            <w:r>
              <w:rPr>
                <w:sz w:val="18"/>
              </w:rPr>
              <w:t>88%</w:t>
            </w:r>
          </w:p>
        </w:tc>
        <w:tc>
          <w:tcPr>
            <w:tcW w:type="dxa" w:w="3545"/>
            <w:shd w:fill="FFFFFF"/>
            <w:tcMar>
              <w:top w:w="100" w:type="dxa"/>
              <w:bottom w:w="100" w:type="dxa"/>
              <w:left w:w="100" w:type="dxa"/>
              <w:right w:w="100" w:type="dxa"/>
            </w:tcMar>
          </w:tcPr>
          <w:p>
            <w:pPr>
              <w:spacing w:after="20" w:before="20" w:line="247" w:lineRule="auto"/>
            </w:pPr>
            <w:r>
              <w:rPr>
                <w:sz w:val="18"/>
              </w:rPr>
              <w:t>Conflict: −1 SD versus −1.5 SD in accessed reports</w:t>
            </w:r>
          </w:p>
        </w:tc>
      </w:tr>
      <w:tr>
        <w:trPr>
          <w:cantSplit/>
        </w:trPr>
        <w:tc>
          <w:tcPr>
            <w:tcW w:type="dxa" w:w="3988"/>
            <w:shd w:fill="EFF4F8"/>
            <w:tcMar>
              <w:top w:w="100" w:type="dxa"/>
              <w:bottom w:w="100" w:type="dxa"/>
              <w:left w:w="100" w:type="dxa"/>
              <w:right w:w="100" w:type="dxa"/>
            </w:tcMar>
          </w:tcPr>
          <w:p>
            <w:pPr>
              <w:spacing w:after="20" w:before="20" w:line="247" w:lineRule="auto"/>
            </w:pPr>
            <w:r>
              <w:rPr>
                <w:sz w:val="18"/>
              </w:rPr>
              <w:t>PLS-5 English US: older language-disorder group [32]</w:t>
            </w:r>
          </w:p>
        </w:tc>
        <w:tc>
          <w:tcPr>
            <w:tcW w:type="dxa" w:w="1418"/>
            <w:shd w:fill="EFF4F8"/>
            <w:tcMar>
              <w:top w:w="100" w:type="dxa"/>
              <w:bottom w:w="100" w:type="dxa"/>
              <w:left w:w="100" w:type="dxa"/>
              <w:right w:w="100" w:type="dxa"/>
            </w:tcMar>
          </w:tcPr>
          <w:p>
            <w:pPr>
              <w:spacing w:after="20" w:before="20" w:line="247" w:lineRule="auto"/>
            </w:pPr>
            <w:r>
              <w:rPr>
                <w:sz w:val="18"/>
              </w:rPr>
              <w:t>83%</w:t>
            </w:r>
          </w:p>
        </w:tc>
        <w:tc>
          <w:tcPr>
            <w:tcW w:type="dxa" w:w="1418"/>
            <w:shd w:fill="EFF4F8"/>
            <w:tcMar>
              <w:top w:w="100" w:type="dxa"/>
              <w:bottom w:w="100" w:type="dxa"/>
              <w:left w:w="100" w:type="dxa"/>
              <w:right w:w="100" w:type="dxa"/>
            </w:tcMar>
          </w:tcPr>
          <w:p>
            <w:pPr>
              <w:spacing w:after="20" w:before="20" w:line="247" w:lineRule="auto"/>
            </w:pPr>
            <w:r>
              <w:rPr>
                <w:sz w:val="18"/>
              </w:rPr>
              <w:t>80%</w:t>
            </w:r>
          </w:p>
        </w:tc>
        <w:tc>
          <w:tcPr>
            <w:tcW w:type="dxa" w:w="3545"/>
            <w:shd w:fill="EFF4F8"/>
            <w:tcMar>
              <w:top w:w="100" w:type="dxa"/>
              <w:bottom w:w="100" w:type="dxa"/>
              <w:left w:w="100" w:type="dxa"/>
              <w:right w:w="100" w:type="dxa"/>
            </w:tcMar>
          </w:tcPr>
          <w:p>
            <w:pPr>
              <w:spacing w:after="20" w:before="20" w:line="247" w:lineRule="auto"/>
            </w:pPr>
            <w:r>
              <w:rPr>
                <w:sz w:val="18"/>
              </w:rPr>
              <w:t>−1 SD / SS85; exact inequality follows manual</w:t>
            </w:r>
          </w:p>
        </w:tc>
      </w:tr>
      <w:tr>
        <w:trPr>
          <w:cantSplit/>
        </w:trPr>
        <w:tc>
          <w:tcPr>
            <w:tcW w:type="dxa" w:w="3988"/>
            <w:shd w:fill="FFFFFF"/>
            <w:tcMar>
              <w:top w:w="100" w:type="dxa"/>
              <w:bottom w:w="100" w:type="dxa"/>
              <w:left w:w="100" w:type="dxa"/>
              <w:right w:w="100" w:type="dxa"/>
            </w:tcMar>
          </w:tcPr>
          <w:p>
            <w:pPr>
              <w:spacing w:after="20" w:before="20" w:line="247" w:lineRule="auto"/>
            </w:pPr>
            <w:r>
              <w:rPr>
                <w:sz w:val="18"/>
              </w:rPr>
              <w:t>PLS-5 English US: younger developmental-language-delay group [32]</w:t>
            </w:r>
          </w:p>
        </w:tc>
        <w:tc>
          <w:tcPr>
            <w:tcW w:type="dxa" w:w="1418"/>
            <w:shd w:fill="FFFFFF"/>
            <w:tcMar>
              <w:top w:w="100" w:type="dxa"/>
              <w:bottom w:w="100" w:type="dxa"/>
              <w:left w:w="100" w:type="dxa"/>
              <w:right w:w="100" w:type="dxa"/>
            </w:tcMar>
          </w:tcPr>
          <w:p>
            <w:pPr>
              <w:spacing w:after="20" w:before="20" w:line="247" w:lineRule="auto"/>
            </w:pPr>
            <w:r>
              <w:rPr>
                <w:sz w:val="18"/>
              </w:rPr>
              <w:t>91%</w:t>
            </w:r>
          </w:p>
        </w:tc>
        <w:tc>
          <w:tcPr>
            <w:tcW w:type="dxa" w:w="1418"/>
            <w:shd w:fill="FFFFFF"/>
            <w:tcMar>
              <w:top w:w="100" w:type="dxa"/>
              <w:bottom w:w="100" w:type="dxa"/>
              <w:left w:w="100" w:type="dxa"/>
              <w:right w:w="100" w:type="dxa"/>
            </w:tcMar>
          </w:tcPr>
          <w:p>
            <w:pPr>
              <w:spacing w:after="20" w:before="20" w:line="247" w:lineRule="auto"/>
            </w:pPr>
            <w:r>
              <w:rPr>
                <w:sz w:val="18"/>
              </w:rPr>
              <w:t>78%</w:t>
            </w:r>
          </w:p>
        </w:tc>
        <w:tc>
          <w:tcPr>
            <w:tcW w:type="dxa" w:w="3545"/>
            <w:shd w:fill="FFFFFF"/>
            <w:tcMar>
              <w:top w:w="100" w:type="dxa"/>
              <w:bottom w:w="100" w:type="dxa"/>
              <w:left w:w="100" w:type="dxa"/>
              <w:right w:w="100" w:type="dxa"/>
            </w:tcMar>
          </w:tcPr>
          <w:p>
            <w:pPr>
              <w:spacing w:after="20" w:before="20" w:line="247" w:lineRule="auto"/>
            </w:pPr>
            <w:r>
              <w:rPr>
                <w:sz w:val="18"/>
              </w:rPr>
              <w:t>−1 SD / SS85; exact inequality follows manual</w:t>
            </w:r>
          </w:p>
        </w:tc>
      </w:tr>
    </w:tbl>
    <w:p>
      <w:pPr>
        <w:spacing w:after="20"/>
      </w:pPr>
    </w:p>
    <w:p>
      <w:pPr>
        <w:pStyle w:val="Heading3"/>
      </w:pPr>
      <w:r>
        <w:t>PLS-5 Spanish: verify the cutoff before applying it</w:t>
      </w:r>
    </w:p>
    <w:p>
      <w:r>
        <w:t>Bilinguistics pairs 85%/88% with −1 SD; King et al. pairs it with −1.5 SD. The full current technical table was not directly verified. This guide reports the pair but does not resolve the clinical cutoff. The ≤77 criterion in the review describes another test used to define the clinical group. [29–31]</w:t>
      </w:r>
    </w:p>
    <w:p>
      <w:r/>
      <w:r>
        <w:rPr>
          <w:b/>
        </w:rPr>
        <w:t>Spanish sample:</w:t>
      </w:r>
      <w:r>
        <w:t xml:space="preserve"> norms N=1,150 US/Puerto Rico Spanish speakers. The review’s accuracy groups span 1;0–7;11 and include moderate/severe disorders. Exact diagnostic denominators are unavailable. The separate tryout sample is not the accuracy sample. [5, 29]</w:t>
      </w:r>
    </w:p>
    <w:p>
      <w:r/>
      <w:r>
        <w:rPr>
          <w:b/>
        </w:rPr>
        <w:t>English groups:</w:t>
      </w:r>
      <w:r>
        <w:t xml:space="preserve"> the review reports clinical groups of 229 (older) and 23 (younger), not verified complete-case denominators. It gives inconsistent lower age bounds: ≥3 versus 3;11 for older; 1;0 versus birth for younger, both ending at 7;11 and 3;11 respectively. Do not use these labels as age-specific scoring directions. [32]</w:t>
      </w:r>
    </w:p>
    <w:p>
      <w:r/>
      <w:r>
        <w:rPr>
          <w:b/>
        </w:rPr>
        <w:t>Reference and limits:</w:t>
      </w:r>
      <w:r>
        <w:t xml:space="preserve"> English clinical groups had low scores on another unspecified language measure and received language services. Comparison counts, accuracy confidence intervals, and bilingual subgroup accuracy were not established in these accessed reports. Screening versions and country adaptations have separate evidence. [29, 32]</w:t>
      </w:r>
    </w:p>
    <w:p>
      <w:r>
        <w:br w:type="page"/>
      </w:r>
    </w:p>
    <w:p>
      <w:r>
        <w:rPr>
          <w:sz w:val="18"/>
        </w:rPr>
        <w:t>DO NOT MERGE THESE ROWS</w:t>
      </w:r>
    </w:p>
    <w:p>
      <w:pPr>
        <w:pStyle w:val="Heading1"/>
      </w:pPr>
      <w:r>
        <w:t>CELF Spanish: manual reports and independent evidence</w:t>
      </w:r>
    </w:p>
    <w:p>
      <w:r>
        <w:t>The same test can perform differently when the sample, reference classification or cutoff changes.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4515"/>
        <w:gridCol w:w="2843"/>
        <w:gridCol w:w="1505"/>
        <w:gridCol w:w="1505"/>
      </w:tblGrid>
      <w:tr>
        <w:trPr>
          <w:cantSplit/>
          <w:tblHeader/>
        </w:trPr>
        <w:tc>
          <w:tcPr>
            <w:tcW w:type="dxa" w:w="4515"/>
            <w:shd w:fill="315985"/>
            <w:tcMar>
              <w:top w:w="100" w:type="dxa"/>
              <w:bottom w:w="100" w:type="dxa"/>
              <w:left w:w="100" w:type="dxa"/>
              <w:right w:w="100" w:type="dxa"/>
            </w:tcMar>
          </w:tcPr>
          <w:p>
            <w:pPr>
              <w:spacing w:after="20" w:before="20" w:line="247" w:lineRule="auto"/>
            </w:pPr>
            <w:r>
              <w:rPr>
                <w:b/>
                <w:color w:val="FFFFFF"/>
                <w:sz w:val="18"/>
              </w:rPr>
              <w:t>Edition and evidence source</w:t>
            </w:r>
          </w:p>
        </w:tc>
        <w:tc>
          <w:tcPr>
            <w:tcW w:type="dxa" w:w="2843"/>
            <w:shd w:fill="315985"/>
            <w:tcMar>
              <w:top w:w="100" w:type="dxa"/>
              <w:bottom w:w="100" w:type="dxa"/>
              <w:left w:w="100" w:type="dxa"/>
              <w:right w:w="100" w:type="dxa"/>
            </w:tcMar>
          </w:tcPr>
          <w:p>
            <w:pPr>
              <w:spacing w:after="20" w:before="20" w:line="247" w:lineRule="auto"/>
            </w:pPr>
            <w:r>
              <w:rPr>
                <w:b/>
                <w:color w:val="FFFFFF"/>
                <w:sz w:val="18"/>
              </w:rPr>
              <w:t>Cutoff / procedure</w:t>
            </w:r>
          </w:p>
        </w:tc>
        <w:tc>
          <w:tcPr>
            <w:tcW w:type="dxa" w:w="1505"/>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505"/>
            <w:shd w:fill="315985"/>
            <w:tcMar>
              <w:top w:w="100" w:type="dxa"/>
              <w:bottom w:w="100" w:type="dxa"/>
              <w:left w:w="100" w:type="dxa"/>
              <w:right w:w="100" w:type="dxa"/>
            </w:tcMar>
          </w:tcPr>
          <w:p>
            <w:pPr>
              <w:spacing w:after="20" w:before="20" w:line="247" w:lineRule="auto"/>
            </w:pPr>
            <w:r>
              <w:rPr>
                <w:b/>
                <w:color w:val="FFFFFF"/>
                <w:sz w:val="18"/>
              </w:rPr>
              <w:t>Specificity</w:t>
            </w:r>
          </w:p>
        </w:tc>
      </w:tr>
      <w:tr>
        <w:trPr>
          <w:cantSplit/>
        </w:trPr>
        <w:tc>
          <w:tcPr>
            <w:tcW w:type="dxa" w:w="4515"/>
            <w:shd w:fill="FFFFFF"/>
            <w:tcMar>
              <w:top w:w="100" w:type="dxa"/>
              <w:bottom w:w="100" w:type="dxa"/>
              <w:left w:w="100" w:type="dxa"/>
              <w:right w:w="100" w:type="dxa"/>
            </w:tcMar>
          </w:tcPr>
          <w:p>
            <w:pPr>
              <w:spacing w:after="20" w:before="20" w:line="247" w:lineRule="auto"/>
            </w:pPr>
            <w:r>
              <w:rPr>
                <w:sz w:val="18"/>
              </w:rPr>
              <w:t>CELF Preschool-2 Spanish: manual reported secondarily [30, 33]</w:t>
            </w:r>
          </w:p>
        </w:tc>
        <w:tc>
          <w:tcPr>
            <w:tcW w:type="dxa" w:w="2843"/>
            <w:shd w:fill="FFFFFF"/>
            <w:tcMar>
              <w:top w:w="100" w:type="dxa"/>
              <w:bottom w:w="100" w:type="dxa"/>
              <w:left w:w="100" w:type="dxa"/>
              <w:right w:w="100" w:type="dxa"/>
            </w:tcMar>
          </w:tcPr>
          <w:p>
            <w:pPr>
              <w:spacing w:after="20" w:before="20" w:line="247" w:lineRule="auto"/>
            </w:pPr>
            <w:r>
              <w:rPr>
                <w:sz w:val="18"/>
              </w:rPr>
              <w:t>SS85</w:t>
            </w:r>
          </w:p>
        </w:tc>
        <w:tc>
          <w:tcPr>
            <w:tcW w:type="dxa" w:w="1505"/>
            <w:shd w:fill="FFFFFF"/>
            <w:tcMar>
              <w:top w:w="100" w:type="dxa"/>
              <w:bottom w:w="100" w:type="dxa"/>
              <w:left w:w="100" w:type="dxa"/>
              <w:right w:w="100" w:type="dxa"/>
            </w:tcMar>
          </w:tcPr>
          <w:p>
            <w:pPr>
              <w:spacing w:after="20" w:before="20" w:line="247" w:lineRule="auto"/>
            </w:pPr>
            <w:r>
              <w:rPr>
                <w:sz w:val="18"/>
              </w:rPr>
              <w:t>86%</w:t>
            </w:r>
          </w:p>
        </w:tc>
        <w:tc>
          <w:tcPr>
            <w:tcW w:type="dxa" w:w="1505"/>
            <w:shd w:fill="FFFFFF"/>
            <w:tcMar>
              <w:top w:w="100" w:type="dxa"/>
              <w:bottom w:w="100" w:type="dxa"/>
              <w:left w:w="100" w:type="dxa"/>
              <w:right w:w="100" w:type="dxa"/>
            </w:tcMar>
          </w:tcPr>
          <w:p>
            <w:pPr>
              <w:spacing w:after="20" w:before="20" w:line="247" w:lineRule="auto"/>
            </w:pPr>
            <w:r>
              <w:rPr>
                <w:sz w:val="18"/>
              </w:rPr>
              <w:t>89%</w:t>
            </w:r>
          </w:p>
        </w:tc>
      </w:tr>
      <w:tr>
        <w:trPr>
          <w:cantSplit/>
        </w:trPr>
        <w:tc>
          <w:tcPr>
            <w:tcW w:type="dxa" w:w="4515"/>
            <w:shd w:fill="EFF4F8"/>
            <w:tcMar>
              <w:top w:w="100" w:type="dxa"/>
              <w:bottom w:w="100" w:type="dxa"/>
              <w:left w:w="100" w:type="dxa"/>
              <w:right w:w="100" w:type="dxa"/>
            </w:tcMar>
          </w:tcPr>
          <w:p>
            <w:pPr>
              <w:spacing w:after="20" w:before="20" w:line="247" w:lineRule="auto"/>
            </w:pPr>
            <w:r>
              <w:rPr>
                <w:sz w:val="18"/>
              </w:rPr>
              <w:t>CELF Preschool-2 Spanish: independent study reported secondarily [33, 34]</w:t>
            </w:r>
          </w:p>
        </w:tc>
        <w:tc>
          <w:tcPr>
            <w:tcW w:type="dxa" w:w="2843"/>
            <w:shd w:fill="EFF4F8"/>
            <w:tcMar>
              <w:top w:w="100" w:type="dxa"/>
              <w:bottom w:w="100" w:type="dxa"/>
              <w:left w:w="100" w:type="dxa"/>
              <w:right w:w="100" w:type="dxa"/>
            </w:tcMar>
          </w:tcPr>
          <w:p>
            <w:pPr>
              <w:spacing w:after="20" w:before="20" w:line="247" w:lineRule="auto"/>
            </w:pPr>
            <w:r>
              <w:rPr>
                <w:sz w:val="18"/>
              </w:rPr>
              <w:t>Spanish-only, manual-directed; exact rule unverified</w:t>
            </w:r>
          </w:p>
        </w:tc>
        <w:tc>
          <w:tcPr>
            <w:tcW w:type="dxa" w:w="1505"/>
            <w:shd w:fill="EFF4F8"/>
            <w:tcMar>
              <w:top w:w="100" w:type="dxa"/>
              <w:bottom w:w="100" w:type="dxa"/>
              <w:left w:w="100" w:type="dxa"/>
              <w:right w:w="100" w:type="dxa"/>
            </w:tcMar>
          </w:tcPr>
          <w:p>
            <w:pPr>
              <w:spacing w:after="20" w:before="20" w:line="247" w:lineRule="auto"/>
            </w:pPr>
            <w:r>
              <w:rPr>
                <w:sz w:val="18"/>
              </w:rPr>
              <w:t>85.7%</w:t>
            </w:r>
          </w:p>
        </w:tc>
        <w:tc>
          <w:tcPr>
            <w:tcW w:type="dxa" w:w="1505"/>
            <w:shd w:fill="EFF4F8"/>
            <w:tcMar>
              <w:top w:w="100" w:type="dxa"/>
              <w:bottom w:w="100" w:type="dxa"/>
              <w:left w:w="100" w:type="dxa"/>
              <w:right w:w="100" w:type="dxa"/>
            </w:tcMar>
          </w:tcPr>
          <w:p>
            <w:pPr>
              <w:spacing w:after="20" w:before="20" w:line="247" w:lineRule="auto"/>
            </w:pPr>
            <w:r>
              <w:rPr>
                <w:sz w:val="18"/>
              </w:rPr>
              <w:t>64.3%</w:t>
            </w:r>
          </w:p>
        </w:tc>
      </w:tr>
      <w:tr>
        <w:trPr>
          <w:cantSplit/>
        </w:trPr>
        <w:tc>
          <w:tcPr>
            <w:tcW w:type="dxa" w:w="4515"/>
            <w:shd w:fill="FFFFFF"/>
            <w:tcMar>
              <w:top w:w="100" w:type="dxa"/>
              <w:bottom w:w="100" w:type="dxa"/>
              <w:left w:w="100" w:type="dxa"/>
              <w:right w:w="100" w:type="dxa"/>
            </w:tcMar>
          </w:tcPr>
          <w:p>
            <w:pPr>
              <w:spacing w:after="20" w:before="20" w:line="247" w:lineRule="auto"/>
            </w:pPr>
            <w:r>
              <w:rPr>
                <w:sz w:val="18"/>
              </w:rPr>
              <w:t>CELF-4 Spanish: secondary manual review [35]</w:t>
            </w:r>
          </w:p>
        </w:tc>
        <w:tc>
          <w:tcPr>
            <w:tcW w:type="dxa" w:w="2843"/>
            <w:shd w:fill="FFFFFF"/>
            <w:tcMar>
              <w:top w:w="100" w:type="dxa"/>
              <w:bottom w:w="100" w:type="dxa"/>
              <w:left w:w="100" w:type="dxa"/>
              <w:right w:w="100" w:type="dxa"/>
            </w:tcMar>
          </w:tcPr>
          <w:p>
            <w:pPr>
              <w:spacing w:after="20" w:before="20" w:line="247" w:lineRule="auto"/>
            </w:pPr>
            <w:r>
              <w:rPr>
                <w:sz w:val="18"/>
              </w:rPr>
              <w:t>−1 SD</w:t>
            </w:r>
          </w:p>
        </w:tc>
        <w:tc>
          <w:tcPr>
            <w:tcW w:type="dxa" w:w="1505"/>
            <w:shd w:fill="FFFFFF"/>
            <w:tcMar>
              <w:top w:w="100" w:type="dxa"/>
              <w:bottom w:w="100" w:type="dxa"/>
              <w:left w:w="100" w:type="dxa"/>
              <w:right w:w="100" w:type="dxa"/>
            </w:tcMar>
          </w:tcPr>
          <w:p>
            <w:pPr>
              <w:spacing w:after="20" w:before="20" w:line="247" w:lineRule="auto"/>
            </w:pPr>
            <w:r>
              <w:rPr>
                <w:sz w:val="18"/>
              </w:rPr>
              <w:t>96%</w:t>
            </w:r>
          </w:p>
        </w:tc>
        <w:tc>
          <w:tcPr>
            <w:tcW w:type="dxa" w:w="1505"/>
            <w:shd w:fill="FFFFFF"/>
            <w:tcMar>
              <w:top w:w="100" w:type="dxa"/>
              <w:bottom w:w="100" w:type="dxa"/>
              <w:left w:w="100" w:type="dxa"/>
              <w:right w:w="100" w:type="dxa"/>
            </w:tcMar>
          </w:tcPr>
          <w:p>
            <w:pPr>
              <w:spacing w:after="20" w:before="20" w:line="247" w:lineRule="auto"/>
            </w:pPr>
            <w:r>
              <w:rPr>
                <w:sz w:val="18"/>
              </w:rPr>
              <w:t>87%</w:t>
            </w:r>
          </w:p>
        </w:tc>
      </w:tr>
      <w:tr>
        <w:trPr>
          <w:cantSplit/>
        </w:trPr>
        <w:tc>
          <w:tcPr>
            <w:tcW w:type="dxa" w:w="4515"/>
            <w:shd w:fill="EFF4F8"/>
            <w:tcMar>
              <w:top w:w="100" w:type="dxa"/>
              <w:bottom w:w="100" w:type="dxa"/>
              <w:left w:w="100" w:type="dxa"/>
              <w:right w:w="100" w:type="dxa"/>
            </w:tcMar>
          </w:tcPr>
          <w:p>
            <w:pPr>
              <w:spacing w:after="20" w:before="20" w:line="247" w:lineRule="auto"/>
            </w:pPr>
            <w:r>
              <w:rPr>
                <w:sz w:val="18"/>
              </w:rPr>
              <w:t>Same manual report [35]</w:t>
            </w:r>
          </w:p>
        </w:tc>
        <w:tc>
          <w:tcPr>
            <w:tcW w:type="dxa" w:w="2843"/>
            <w:shd w:fill="EFF4F8"/>
            <w:tcMar>
              <w:top w:w="100" w:type="dxa"/>
              <w:bottom w:w="100" w:type="dxa"/>
              <w:left w:w="100" w:type="dxa"/>
              <w:right w:w="100" w:type="dxa"/>
            </w:tcMar>
          </w:tcPr>
          <w:p>
            <w:pPr>
              <w:spacing w:after="20" w:before="20" w:line="247" w:lineRule="auto"/>
            </w:pPr>
            <w:r>
              <w:rPr>
                <w:sz w:val="18"/>
              </w:rPr>
              <w:t>−1.5 SD</w:t>
            </w:r>
          </w:p>
        </w:tc>
        <w:tc>
          <w:tcPr>
            <w:tcW w:type="dxa" w:w="1505"/>
            <w:shd w:fill="EFF4F8"/>
            <w:tcMar>
              <w:top w:w="100" w:type="dxa"/>
              <w:bottom w:w="100" w:type="dxa"/>
              <w:left w:w="100" w:type="dxa"/>
              <w:right w:w="100" w:type="dxa"/>
            </w:tcMar>
          </w:tcPr>
          <w:p>
            <w:pPr>
              <w:spacing w:after="20" w:before="20" w:line="247" w:lineRule="auto"/>
            </w:pPr>
            <w:r>
              <w:rPr>
                <w:sz w:val="18"/>
              </w:rPr>
              <w:t>86%</w:t>
            </w:r>
          </w:p>
        </w:tc>
        <w:tc>
          <w:tcPr>
            <w:tcW w:type="dxa" w:w="1505"/>
            <w:shd w:fill="EFF4F8"/>
            <w:tcMar>
              <w:top w:w="100" w:type="dxa"/>
              <w:bottom w:w="100" w:type="dxa"/>
              <w:left w:w="100" w:type="dxa"/>
              <w:right w:w="100" w:type="dxa"/>
            </w:tcMar>
          </w:tcPr>
          <w:p>
            <w:pPr>
              <w:spacing w:after="20" w:before="20" w:line="247" w:lineRule="auto"/>
            </w:pPr>
            <w:r>
              <w:rPr>
                <w:sz w:val="18"/>
              </w:rPr>
              <w:t>95%</w:t>
            </w:r>
          </w:p>
        </w:tc>
      </w:tr>
      <w:tr>
        <w:trPr>
          <w:cantSplit/>
        </w:trPr>
        <w:tc>
          <w:tcPr>
            <w:tcW w:type="dxa" w:w="4515"/>
            <w:shd w:fill="FFFFFF"/>
            <w:tcMar>
              <w:top w:w="100" w:type="dxa"/>
              <w:bottom w:w="100" w:type="dxa"/>
              <w:left w:w="100" w:type="dxa"/>
              <w:right w:w="100" w:type="dxa"/>
            </w:tcMar>
          </w:tcPr>
          <w:p>
            <w:pPr>
              <w:spacing w:after="20" w:before="20" w:line="247" w:lineRule="auto"/>
            </w:pPr>
            <w:r>
              <w:rPr>
                <w:sz w:val="18"/>
              </w:rPr>
              <w:t>Same manual report [35]</w:t>
            </w:r>
          </w:p>
        </w:tc>
        <w:tc>
          <w:tcPr>
            <w:tcW w:type="dxa" w:w="2843"/>
            <w:shd w:fill="FFFFFF"/>
            <w:tcMar>
              <w:top w:w="100" w:type="dxa"/>
              <w:bottom w:w="100" w:type="dxa"/>
              <w:left w:w="100" w:type="dxa"/>
              <w:right w:w="100" w:type="dxa"/>
            </w:tcMar>
          </w:tcPr>
          <w:p>
            <w:pPr>
              <w:spacing w:after="20" w:before="20" w:line="247" w:lineRule="auto"/>
            </w:pPr>
            <w:r>
              <w:rPr>
                <w:sz w:val="18"/>
              </w:rPr>
              <w:t>−2 SD</w:t>
            </w:r>
          </w:p>
        </w:tc>
        <w:tc>
          <w:tcPr>
            <w:tcW w:type="dxa" w:w="1505"/>
            <w:shd w:fill="FFFFFF"/>
            <w:tcMar>
              <w:top w:w="100" w:type="dxa"/>
              <w:bottom w:w="100" w:type="dxa"/>
              <w:left w:w="100" w:type="dxa"/>
              <w:right w:w="100" w:type="dxa"/>
            </w:tcMar>
          </w:tcPr>
          <w:p>
            <w:pPr>
              <w:spacing w:after="20" w:before="20" w:line="247" w:lineRule="auto"/>
            </w:pPr>
            <w:r>
              <w:rPr>
                <w:sz w:val="18"/>
              </w:rPr>
              <w:t>52%</w:t>
            </w:r>
          </w:p>
        </w:tc>
        <w:tc>
          <w:tcPr>
            <w:tcW w:type="dxa" w:w="1505"/>
            <w:shd w:fill="FFFFFF"/>
            <w:tcMar>
              <w:top w:w="100" w:type="dxa"/>
              <w:bottom w:w="100" w:type="dxa"/>
              <w:left w:w="100" w:type="dxa"/>
              <w:right w:w="100" w:type="dxa"/>
            </w:tcMar>
          </w:tcPr>
          <w:p>
            <w:pPr>
              <w:spacing w:after="20" w:before="20" w:line="247" w:lineRule="auto"/>
            </w:pPr>
            <w:r>
              <w:rPr>
                <w:sz w:val="18"/>
              </w:rPr>
              <w:t>100%</w:t>
            </w:r>
          </w:p>
        </w:tc>
      </w:tr>
    </w:tbl>
    <w:p>
      <w:pPr>
        <w:spacing w:after="20"/>
      </w:pPr>
    </w:p>
    <w:p>
      <w:r/>
      <w:r>
        <w:rPr>
          <w:b/>
        </w:rPr>
        <w:t>Preschool-2 Spanish:</w:t>
      </w:r>
      <w:r>
        <w:t xml:space="preserve"> ages 3;0–6;11; publisher norms &gt;450. Clinical N and reference standard behind the manual pair were not verified. The independent study enrolled 30 Mexican American Spanish-English learners ages 4–5; CELF-specific diagnostic denominators were not available. Its rates were retrieved through Castilla-Earls et al., not the full study results. [28, 33, 34]</w:t>
      </w:r>
    </w:p>
    <w:p>
      <w:r/>
      <w:r>
        <w:rPr>
          <w:b/>
        </w:rPr>
        <w:t>CELF-4 Spanish:</w:t>
      </w:r>
      <w:r>
        <w:t xml:space="preserve"> review reports 116 clinical participants ages 5–21 in the US, Puerto Rico and Mexico, plus 116 matched norm controls. Clinical classification used a score below −1.5 SD on an unspecified other test. The review does not reproduce the precise index-combination rule. These are different data from the independent school study on page 3. [35]</w:t>
      </w:r>
    </w:p>
    <w:p>
      <w:pPr>
        <w:pStyle w:val="Heading3"/>
      </w:pPr>
      <w:r>
        <w:t>CELF-5 Spain is a separate edition</w:t>
      </w:r>
    </w:p>
    <w:p>
      <w:r>
        <w:t>Norms N=922, ages 5;0–15;11. A public diagnostic-accuracy table was not verified. Do not borrow CELF-4 Spanish US or CELF-5 English percentages. No dialect-specific accuracy or accuracy confidence intervals were verified for the rows above. [11, 36]</w:t>
      </w:r>
    </w:p>
    <w:p>
      <w:r>
        <w:br w:type="page"/>
      </w:r>
    </w:p>
    <w:p>
      <w:r>
        <w:rPr>
          <w:sz w:val="18"/>
        </w:rPr>
        <w:t>PRIMARY PUBLISHER FIGURES</w:t>
      </w:r>
    </w:p>
    <w:p>
      <w:pPr>
        <w:pStyle w:val="Heading1"/>
      </w:pPr>
      <w:r>
        <w:t>English CELF editions: the score rule matters</w:t>
      </w:r>
    </w:p>
    <w:p>
      <w:r>
        <w:t>English norming does not establish diagnostic accuracy for every Spanish-English bilingual child.</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278"/>
        <w:gridCol w:w="2074"/>
        <w:gridCol w:w="1508"/>
        <w:gridCol w:w="1508"/>
      </w:tblGrid>
      <w:tr>
        <w:trPr>
          <w:cantSplit/>
          <w:tblHeader/>
        </w:trPr>
        <w:tc>
          <w:tcPr>
            <w:tcW w:type="dxa" w:w="5278"/>
            <w:shd w:fill="315985"/>
            <w:tcMar>
              <w:top w:w="100" w:type="dxa"/>
              <w:bottom w:w="100" w:type="dxa"/>
              <w:left w:w="100" w:type="dxa"/>
              <w:right w:w="100" w:type="dxa"/>
            </w:tcMar>
          </w:tcPr>
          <w:p>
            <w:pPr>
              <w:spacing w:after="20" w:before="20" w:line="247" w:lineRule="auto"/>
            </w:pPr>
            <w:r>
              <w:rPr>
                <w:b/>
                <w:color w:val="FFFFFF"/>
                <w:sz w:val="18"/>
              </w:rPr>
              <w:t>Edition and score scope</w:t>
            </w:r>
          </w:p>
        </w:tc>
        <w:tc>
          <w:tcPr>
            <w:tcW w:type="dxa" w:w="2074"/>
            <w:shd w:fill="315985"/>
            <w:tcMar>
              <w:top w:w="100" w:type="dxa"/>
              <w:bottom w:w="100" w:type="dxa"/>
              <w:left w:w="100" w:type="dxa"/>
              <w:right w:w="100" w:type="dxa"/>
            </w:tcMar>
          </w:tcPr>
          <w:p>
            <w:pPr>
              <w:spacing w:after="20" w:before="20" w:line="247" w:lineRule="auto"/>
            </w:pPr>
            <w:r>
              <w:rPr>
                <w:b/>
                <w:color w:val="FFFFFF"/>
                <w:sz w:val="18"/>
              </w:rPr>
              <w:t>Reported cutoff</w:t>
            </w:r>
          </w:p>
        </w:tc>
        <w:tc>
          <w:tcPr>
            <w:tcW w:type="dxa" w:w="1508"/>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508"/>
            <w:shd w:fill="315985"/>
            <w:tcMar>
              <w:top w:w="100" w:type="dxa"/>
              <w:bottom w:w="100" w:type="dxa"/>
              <w:left w:w="100" w:type="dxa"/>
              <w:right w:w="100" w:type="dxa"/>
            </w:tcMar>
          </w:tcPr>
          <w:p>
            <w:pPr>
              <w:spacing w:after="20" w:before="20" w:line="247" w:lineRule="auto"/>
            </w:pPr>
            <w:r>
              <w:rPr>
                <w:b/>
                <w:color w:val="FFFFFF"/>
                <w:sz w:val="18"/>
              </w:rPr>
              <w:t>Specificity</w:t>
            </w:r>
          </w:p>
        </w:tc>
      </w:tr>
      <w:tr>
        <w:trPr>
          <w:cantSplit/>
        </w:trPr>
        <w:tc>
          <w:tcPr>
            <w:tcW w:type="dxa" w:w="5278"/>
            <w:shd w:fill="FFFFFF"/>
            <w:tcMar>
              <w:top w:w="100" w:type="dxa"/>
              <w:bottom w:w="100" w:type="dxa"/>
              <w:left w:w="100" w:type="dxa"/>
              <w:right w:w="100" w:type="dxa"/>
            </w:tcMar>
          </w:tcPr>
          <w:p>
            <w:pPr>
              <w:spacing w:after="20" w:before="20" w:line="247" w:lineRule="auto"/>
            </w:pPr>
            <w:r>
              <w:rPr>
                <w:sz w:val="18"/>
              </w:rPr>
              <w:t>CELF-5 English US: Core + Receptive + Expressive combination [12]</w:t>
            </w:r>
          </w:p>
        </w:tc>
        <w:tc>
          <w:tcPr>
            <w:tcW w:type="dxa" w:w="2074"/>
            <w:shd w:fill="FFFFFF"/>
            <w:tcMar>
              <w:top w:w="100" w:type="dxa"/>
              <w:bottom w:w="100" w:type="dxa"/>
              <w:left w:w="100" w:type="dxa"/>
              <w:right w:w="100" w:type="dxa"/>
            </w:tcMar>
          </w:tcPr>
          <w:p>
            <w:pPr>
              <w:spacing w:after="20" w:before="20" w:line="247" w:lineRule="auto"/>
            </w:pPr>
            <w:r>
              <w:rPr>
                <w:sz w:val="18"/>
              </w:rPr>
              <w:t>SS80</w:t>
            </w:r>
          </w:p>
        </w:tc>
        <w:tc>
          <w:tcPr>
            <w:tcW w:type="dxa" w:w="1508"/>
            <w:shd w:fill="FFFFFF"/>
            <w:tcMar>
              <w:top w:w="100" w:type="dxa"/>
              <w:bottom w:w="100" w:type="dxa"/>
              <w:left w:w="100" w:type="dxa"/>
              <w:right w:w="100" w:type="dxa"/>
            </w:tcMar>
          </w:tcPr>
          <w:p>
            <w:pPr>
              <w:spacing w:after="20" w:before="20" w:line="247" w:lineRule="auto"/>
            </w:pPr>
            <w:r>
              <w:rPr>
                <w:sz w:val="18"/>
              </w:rPr>
              <w:t>97%</w:t>
            </w:r>
          </w:p>
        </w:tc>
        <w:tc>
          <w:tcPr>
            <w:tcW w:type="dxa" w:w="1508"/>
            <w:shd w:fill="FFFFFF"/>
            <w:tcMar>
              <w:top w:w="100" w:type="dxa"/>
              <w:bottom w:w="100" w:type="dxa"/>
              <w:left w:w="100" w:type="dxa"/>
              <w:right w:w="100" w:type="dxa"/>
            </w:tcMar>
          </w:tcPr>
          <w:p>
            <w:pPr>
              <w:spacing w:after="20" w:before="20" w:line="247" w:lineRule="auto"/>
            </w:pPr>
            <w:r>
              <w:rPr>
                <w:sz w:val="18"/>
              </w:rPr>
              <w:t>97%</w:t>
            </w:r>
          </w:p>
        </w:tc>
      </w:tr>
      <w:tr>
        <w:trPr>
          <w:cantSplit/>
        </w:trPr>
        <w:tc>
          <w:tcPr>
            <w:tcW w:type="dxa" w:w="5278"/>
            <w:shd w:fill="EFF4F8"/>
            <w:tcMar>
              <w:top w:w="100" w:type="dxa"/>
              <w:bottom w:w="100" w:type="dxa"/>
              <w:left w:w="100" w:type="dxa"/>
              <w:right w:w="100" w:type="dxa"/>
            </w:tcMar>
          </w:tcPr>
          <w:p>
            <w:pPr>
              <w:spacing w:after="20" w:before="20" w:line="247" w:lineRule="auto"/>
            </w:pPr>
            <w:r>
              <w:rPr>
                <w:sz w:val="18"/>
              </w:rPr>
              <w:t>CELF-5 English US: Core Language alone [12]</w:t>
            </w:r>
          </w:p>
        </w:tc>
        <w:tc>
          <w:tcPr>
            <w:tcW w:type="dxa" w:w="2074"/>
            <w:shd w:fill="EFF4F8"/>
            <w:tcMar>
              <w:top w:w="100" w:type="dxa"/>
              <w:bottom w:w="100" w:type="dxa"/>
              <w:left w:w="100" w:type="dxa"/>
              <w:right w:w="100" w:type="dxa"/>
            </w:tcMar>
          </w:tcPr>
          <w:p>
            <w:pPr>
              <w:spacing w:after="20" w:before="20" w:line="247" w:lineRule="auto"/>
            </w:pPr>
            <w:r>
              <w:rPr>
                <w:sz w:val="18"/>
              </w:rPr>
              <w:t>−1 SD</w:t>
            </w:r>
          </w:p>
        </w:tc>
        <w:tc>
          <w:tcPr>
            <w:tcW w:type="dxa" w:w="1508"/>
            <w:shd w:fill="EFF4F8"/>
            <w:tcMar>
              <w:top w:w="100" w:type="dxa"/>
              <w:bottom w:w="100" w:type="dxa"/>
              <w:left w:w="100" w:type="dxa"/>
              <w:right w:w="100" w:type="dxa"/>
            </w:tcMar>
          </w:tcPr>
          <w:p>
            <w:pPr>
              <w:spacing w:after="20" w:before="20" w:line="247" w:lineRule="auto"/>
            </w:pPr>
            <w:r>
              <w:rPr>
                <w:sz w:val="18"/>
              </w:rPr>
              <w:t>99%</w:t>
            </w:r>
          </w:p>
        </w:tc>
        <w:tc>
          <w:tcPr>
            <w:tcW w:type="dxa" w:w="1508"/>
            <w:shd w:fill="EFF4F8"/>
            <w:tcMar>
              <w:top w:w="100" w:type="dxa"/>
              <w:bottom w:w="100" w:type="dxa"/>
              <w:left w:w="100" w:type="dxa"/>
              <w:right w:w="100" w:type="dxa"/>
            </w:tcMar>
          </w:tcPr>
          <w:p>
            <w:pPr>
              <w:spacing w:after="20" w:before="20" w:line="247" w:lineRule="auto"/>
            </w:pPr>
            <w:r>
              <w:rPr>
                <w:sz w:val="18"/>
              </w:rPr>
              <w:t>90%</w:t>
            </w:r>
          </w:p>
        </w:tc>
      </w:tr>
      <w:tr>
        <w:trPr>
          <w:cantSplit/>
        </w:trPr>
        <w:tc>
          <w:tcPr>
            <w:tcW w:type="dxa" w:w="5278"/>
            <w:shd w:fill="FFFFFF"/>
            <w:tcMar>
              <w:top w:w="100" w:type="dxa"/>
              <w:bottom w:w="100" w:type="dxa"/>
              <w:left w:w="100" w:type="dxa"/>
              <w:right w:w="100" w:type="dxa"/>
            </w:tcMar>
          </w:tcPr>
          <w:p>
            <w:pPr>
              <w:spacing w:after="20" w:before="20" w:line="247" w:lineRule="auto"/>
            </w:pPr>
            <w:r>
              <w:rPr>
                <w:sz w:val="18"/>
              </w:rPr>
              <w:t>CELF Preschool-3 English: table covers Core, Receptive or Expressive scores [37]</w:t>
            </w:r>
          </w:p>
        </w:tc>
        <w:tc>
          <w:tcPr>
            <w:tcW w:type="dxa" w:w="2074"/>
            <w:shd w:fill="FFFFFF"/>
            <w:tcMar>
              <w:top w:w="100" w:type="dxa"/>
              <w:bottom w:w="100" w:type="dxa"/>
              <w:left w:w="100" w:type="dxa"/>
              <w:right w:w="100" w:type="dxa"/>
            </w:tcMar>
          </w:tcPr>
          <w:p>
            <w:pPr>
              <w:spacing w:after="20" w:before="20" w:line="247" w:lineRule="auto"/>
            </w:pPr>
            <w:r>
              <w:rPr>
                <w:sz w:val="18"/>
              </w:rPr>
              <w:t>−1 SD</w:t>
            </w:r>
          </w:p>
        </w:tc>
        <w:tc>
          <w:tcPr>
            <w:tcW w:type="dxa" w:w="1508"/>
            <w:shd w:fill="FFFFFF"/>
            <w:tcMar>
              <w:top w:w="100" w:type="dxa"/>
              <w:bottom w:w="100" w:type="dxa"/>
              <w:left w:w="100" w:type="dxa"/>
              <w:right w:w="100" w:type="dxa"/>
            </w:tcMar>
          </w:tcPr>
          <w:p>
            <w:pPr>
              <w:spacing w:after="20" w:before="20" w:line="247" w:lineRule="auto"/>
            </w:pPr>
            <w:r>
              <w:rPr>
                <w:sz w:val="18"/>
              </w:rPr>
              <w:t>96%</w:t>
            </w:r>
          </w:p>
        </w:tc>
        <w:tc>
          <w:tcPr>
            <w:tcW w:type="dxa" w:w="1508"/>
            <w:shd w:fill="FFFFFF"/>
            <w:tcMar>
              <w:top w:w="100" w:type="dxa"/>
              <w:bottom w:w="100" w:type="dxa"/>
              <w:left w:w="100" w:type="dxa"/>
              <w:right w:w="100" w:type="dxa"/>
            </w:tcMar>
          </w:tcPr>
          <w:p>
            <w:pPr>
              <w:spacing w:after="20" w:before="20" w:line="247" w:lineRule="auto"/>
            </w:pPr>
            <w:r>
              <w:rPr>
                <w:sz w:val="18"/>
              </w:rPr>
              <w:t>70%</w:t>
            </w:r>
          </w:p>
        </w:tc>
      </w:tr>
      <w:tr>
        <w:trPr>
          <w:cantSplit/>
        </w:trPr>
        <w:tc>
          <w:tcPr>
            <w:tcW w:type="dxa" w:w="5278"/>
            <w:shd w:fill="EFF4F8"/>
            <w:tcMar>
              <w:top w:w="100" w:type="dxa"/>
              <w:bottom w:w="100" w:type="dxa"/>
              <w:left w:w="100" w:type="dxa"/>
              <w:right w:w="100" w:type="dxa"/>
            </w:tcMar>
          </w:tcPr>
          <w:p>
            <w:pPr>
              <w:spacing w:after="20" w:before="20" w:line="247" w:lineRule="auto"/>
            </w:pPr>
            <w:r>
              <w:rPr>
                <w:sz w:val="18"/>
              </w:rPr>
              <w:t>Same publisher table [37]</w:t>
            </w:r>
          </w:p>
        </w:tc>
        <w:tc>
          <w:tcPr>
            <w:tcW w:type="dxa" w:w="2074"/>
            <w:shd w:fill="EFF4F8"/>
            <w:tcMar>
              <w:top w:w="100" w:type="dxa"/>
              <w:bottom w:w="100" w:type="dxa"/>
              <w:left w:w="100" w:type="dxa"/>
              <w:right w:w="100" w:type="dxa"/>
            </w:tcMar>
          </w:tcPr>
          <w:p>
            <w:pPr>
              <w:spacing w:after="20" w:before="20" w:line="247" w:lineRule="auto"/>
            </w:pPr>
            <w:r>
              <w:rPr>
                <w:sz w:val="18"/>
              </w:rPr>
              <w:t>−1.5 SD</w:t>
            </w:r>
          </w:p>
        </w:tc>
        <w:tc>
          <w:tcPr>
            <w:tcW w:type="dxa" w:w="1508"/>
            <w:shd w:fill="EFF4F8"/>
            <w:tcMar>
              <w:top w:w="100" w:type="dxa"/>
              <w:bottom w:w="100" w:type="dxa"/>
              <w:left w:w="100" w:type="dxa"/>
              <w:right w:w="100" w:type="dxa"/>
            </w:tcMar>
          </w:tcPr>
          <w:p>
            <w:pPr>
              <w:spacing w:after="20" w:before="20" w:line="247" w:lineRule="auto"/>
            </w:pPr>
            <w:r>
              <w:rPr>
                <w:sz w:val="18"/>
              </w:rPr>
              <w:t>89%</w:t>
            </w:r>
          </w:p>
        </w:tc>
        <w:tc>
          <w:tcPr>
            <w:tcW w:type="dxa" w:w="1508"/>
            <w:shd w:fill="EFF4F8"/>
            <w:tcMar>
              <w:top w:w="100" w:type="dxa"/>
              <w:bottom w:w="100" w:type="dxa"/>
              <w:left w:w="100" w:type="dxa"/>
              <w:right w:w="100" w:type="dxa"/>
            </w:tcMar>
          </w:tcPr>
          <w:p>
            <w:pPr>
              <w:spacing w:after="20" w:before="20" w:line="247" w:lineRule="auto"/>
            </w:pPr>
            <w:r>
              <w:rPr>
                <w:sz w:val="18"/>
              </w:rPr>
              <w:t>87%</w:t>
            </w:r>
          </w:p>
        </w:tc>
      </w:tr>
      <w:tr>
        <w:trPr>
          <w:cantSplit/>
        </w:trPr>
        <w:tc>
          <w:tcPr>
            <w:tcW w:type="dxa" w:w="5278"/>
            <w:shd w:fill="FFFFFF"/>
            <w:tcMar>
              <w:top w:w="100" w:type="dxa"/>
              <w:bottom w:w="100" w:type="dxa"/>
              <w:left w:w="100" w:type="dxa"/>
              <w:right w:w="100" w:type="dxa"/>
            </w:tcMar>
          </w:tcPr>
          <w:p>
            <w:pPr>
              <w:spacing w:after="20" w:before="20" w:line="247" w:lineRule="auto"/>
            </w:pPr>
            <w:r>
              <w:rPr>
                <w:sz w:val="18"/>
              </w:rPr>
              <w:t>Same publisher table [37]</w:t>
            </w:r>
          </w:p>
        </w:tc>
        <w:tc>
          <w:tcPr>
            <w:tcW w:type="dxa" w:w="2074"/>
            <w:shd w:fill="FFFFFF"/>
            <w:tcMar>
              <w:top w:w="100" w:type="dxa"/>
              <w:bottom w:w="100" w:type="dxa"/>
              <w:left w:w="100" w:type="dxa"/>
              <w:right w:w="100" w:type="dxa"/>
            </w:tcMar>
          </w:tcPr>
          <w:p>
            <w:pPr>
              <w:spacing w:after="20" w:before="20" w:line="247" w:lineRule="auto"/>
            </w:pPr>
            <w:r>
              <w:rPr>
                <w:sz w:val="18"/>
              </w:rPr>
              <w:t>−2 SD</w:t>
            </w:r>
          </w:p>
        </w:tc>
        <w:tc>
          <w:tcPr>
            <w:tcW w:type="dxa" w:w="1508"/>
            <w:shd w:fill="FFFFFF"/>
            <w:tcMar>
              <w:top w:w="100" w:type="dxa"/>
              <w:bottom w:w="100" w:type="dxa"/>
              <w:left w:w="100" w:type="dxa"/>
              <w:right w:w="100" w:type="dxa"/>
            </w:tcMar>
          </w:tcPr>
          <w:p>
            <w:pPr>
              <w:spacing w:after="20" w:before="20" w:line="247" w:lineRule="auto"/>
            </w:pPr>
            <w:r>
              <w:rPr>
                <w:sz w:val="18"/>
              </w:rPr>
              <w:t>71%</w:t>
            </w:r>
          </w:p>
        </w:tc>
        <w:tc>
          <w:tcPr>
            <w:tcW w:type="dxa" w:w="1508"/>
            <w:shd w:fill="FFFFFF"/>
            <w:tcMar>
              <w:top w:w="100" w:type="dxa"/>
              <w:bottom w:w="100" w:type="dxa"/>
              <w:left w:w="100" w:type="dxa"/>
              <w:right w:w="100" w:type="dxa"/>
            </w:tcMar>
          </w:tcPr>
          <w:p>
            <w:pPr>
              <w:spacing w:after="20" w:before="20" w:line="247" w:lineRule="auto"/>
            </w:pPr>
            <w:r>
              <w:rPr>
                <w:sz w:val="18"/>
              </w:rPr>
              <w:t>97%</w:t>
            </w:r>
          </w:p>
        </w:tc>
      </w:tr>
    </w:tbl>
    <w:p>
      <w:pPr>
        <w:spacing w:after="20"/>
      </w:pPr>
    </w:p>
    <w:p>
      <w:r/>
      <w:r>
        <w:rPr>
          <w:b/>
        </w:rPr>
        <w:t>CELF-5 English:</w:t>
      </w:r>
      <w:r>
        <w:t xml:space="preserve"> ages 5;0–21;11; norms N=2,380. Examiner’s Manual p. 153 reports both pairs. The excerpt does not specify the exact AND/OR rule for the three-score combination. It advises against Core alone at −1.5 or −2 SD. Consult the Technical Manual; do not invent the combination rule. [12, 13]</w:t>
      </w:r>
    </w:p>
    <w:p>
      <w:r/>
      <w:r>
        <w:rPr>
          <w:b/>
        </w:rPr>
        <w:t>CELF Preschool-3 English:</w:t>
      </w:r>
      <w:r>
        <w:t xml:space="preserve"> ages 3;0–6;11; norms N=700 across 41 states. The technical summary labels the accuracy table “Core Language, Receptive Language, or Expressive Language Scores”; it does not establish a separate pair for every index or describe the full classification algorithm. [37]</w:t>
      </w:r>
    </w:p>
    <w:p>
      <w:pPr>
        <w:pStyle w:val="Heading3"/>
      </w:pPr>
      <w:r>
        <w:t>What these public summaries do not supply</w:t>
      </w:r>
    </w:p>
    <w:p>
      <w:r>
        <w:t>Analytic clinical/control counts, the complete reference-classification procedure, accuracy confidence intervals and Spanish-English subgroup estimates are not verified here. Hispanic representation in norms is not a bilingual language-exposure count. These English figures cannot be transferred to CELF Preschool-2 Spanish.</w:t>
      </w:r>
    </w:p>
    <w:p>
      <w:r>
        <w:br w:type="page"/>
      </w:r>
    </w:p>
    <w:p>
      <w:r>
        <w:rPr>
          <w:sz w:val="18"/>
        </w:rPr>
        <w:t>ENGLISH LANGUAGE AND LITERACY</w:t>
      </w:r>
    </w:p>
    <w:p>
      <w:pPr>
        <w:pStyle w:val="Heading1"/>
      </w:pPr>
      <w:r>
        <w:t>TILLS: check the language-learning history first</w:t>
      </w:r>
    </w:p>
    <w:p>
      <w:r>
        <w:t>Ages 6;0–18;11. The target condition includes language/literacy disorders, not only developmental language disorder.</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927"/>
        <w:gridCol w:w="2753"/>
        <w:gridCol w:w="1652"/>
        <w:gridCol w:w="1652"/>
        <w:gridCol w:w="2386"/>
      </w:tblGrid>
      <w:tr>
        <w:trPr>
          <w:cantSplit/>
          <w:tblHeader/>
        </w:trPr>
        <w:tc>
          <w:tcPr>
            <w:tcW w:type="dxa" w:w="1927"/>
            <w:shd w:fill="315985"/>
            <w:tcMar>
              <w:top w:w="100" w:type="dxa"/>
              <w:bottom w:w="100" w:type="dxa"/>
              <w:left w:w="100" w:type="dxa"/>
              <w:right w:w="100" w:type="dxa"/>
            </w:tcMar>
          </w:tcPr>
          <w:p>
            <w:pPr>
              <w:spacing w:after="20" w:before="20" w:line="247" w:lineRule="auto"/>
            </w:pPr>
            <w:r>
              <w:rPr>
                <w:b/>
                <w:color w:val="FFFFFF"/>
                <w:sz w:val="18"/>
              </w:rPr>
              <w:t>Age band</w:t>
            </w:r>
          </w:p>
        </w:tc>
        <w:tc>
          <w:tcPr>
            <w:tcW w:type="dxa" w:w="2753"/>
            <w:shd w:fill="315985"/>
            <w:tcMar>
              <w:top w:w="100" w:type="dxa"/>
              <w:bottom w:w="100" w:type="dxa"/>
              <w:left w:w="100" w:type="dxa"/>
              <w:right w:w="100" w:type="dxa"/>
            </w:tcMar>
          </w:tcPr>
          <w:p>
            <w:pPr>
              <w:spacing w:after="20" w:before="20" w:line="247" w:lineRule="auto"/>
            </w:pPr>
            <w:r>
              <w:rPr>
                <w:b/>
                <w:color w:val="FFFFFF"/>
                <w:sz w:val="18"/>
              </w:rPr>
              <w:t>Identification Core sum</w:t>
            </w:r>
          </w:p>
        </w:tc>
        <w:tc>
          <w:tcPr>
            <w:tcW w:type="dxa" w:w="1652"/>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652"/>
            <w:shd w:fill="315985"/>
            <w:tcMar>
              <w:top w:w="100" w:type="dxa"/>
              <w:bottom w:w="100" w:type="dxa"/>
              <w:left w:w="100" w:type="dxa"/>
              <w:right w:w="100" w:type="dxa"/>
            </w:tcMar>
          </w:tcPr>
          <w:p>
            <w:pPr>
              <w:spacing w:after="20" w:before="20" w:line="247" w:lineRule="auto"/>
            </w:pPr>
            <w:r>
              <w:rPr>
                <w:b/>
                <w:color w:val="FFFFFF"/>
                <w:sz w:val="18"/>
              </w:rPr>
              <w:t>Specificity</w:t>
            </w:r>
          </w:p>
        </w:tc>
        <w:tc>
          <w:tcPr>
            <w:tcW w:type="dxa" w:w="2386"/>
            <w:shd w:fill="315985"/>
            <w:tcMar>
              <w:top w:w="100" w:type="dxa"/>
              <w:bottom w:w="100" w:type="dxa"/>
              <w:left w:w="100" w:type="dxa"/>
              <w:right w:w="100" w:type="dxa"/>
            </w:tcMar>
          </w:tcPr>
          <w:p>
            <w:pPr>
              <w:spacing w:after="20" w:before="20" w:line="247" w:lineRule="auto"/>
            </w:pPr>
            <w:r>
              <w:rPr>
                <w:b/>
                <w:color w:val="FFFFFF"/>
                <w:sz w:val="18"/>
              </w:rPr>
              <w:t>Clinical / controls</w:t>
            </w:r>
          </w:p>
        </w:tc>
      </w:tr>
      <w:tr>
        <w:trPr>
          <w:cantSplit/>
        </w:trPr>
        <w:tc>
          <w:tcPr>
            <w:tcW w:type="dxa" w:w="1927"/>
            <w:shd w:fill="FFFFFF"/>
            <w:tcMar>
              <w:top w:w="100" w:type="dxa"/>
              <w:bottom w:w="100" w:type="dxa"/>
              <w:left w:w="100" w:type="dxa"/>
              <w:right w:w="100" w:type="dxa"/>
            </w:tcMar>
          </w:tcPr>
          <w:p>
            <w:pPr>
              <w:spacing w:after="20" w:before="20" w:line="247" w:lineRule="auto"/>
            </w:pPr>
            <w:r>
              <w:rPr>
                <w:sz w:val="18"/>
              </w:rPr>
              <w:t>6;0–7;11</w:t>
            </w:r>
          </w:p>
        </w:tc>
        <w:tc>
          <w:tcPr>
            <w:tcW w:type="dxa" w:w="2753"/>
            <w:shd w:fill="FFFFFF"/>
            <w:tcMar>
              <w:top w:w="100" w:type="dxa"/>
              <w:bottom w:w="100" w:type="dxa"/>
              <w:left w:w="100" w:type="dxa"/>
              <w:right w:w="100" w:type="dxa"/>
            </w:tcMar>
          </w:tcPr>
          <w:p>
            <w:pPr>
              <w:spacing w:after="20" w:before="20" w:line="247" w:lineRule="auto"/>
            </w:pPr>
            <w:r>
              <w:rPr>
                <w:sz w:val="18"/>
              </w:rPr>
              <w:t>Below 24</w:t>
            </w:r>
          </w:p>
        </w:tc>
        <w:tc>
          <w:tcPr>
            <w:tcW w:type="dxa" w:w="1652"/>
            <w:shd w:fill="FFFFFF"/>
            <w:tcMar>
              <w:top w:w="100" w:type="dxa"/>
              <w:bottom w:w="100" w:type="dxa"/>
              <w:left w:w="100" w:type="dxa"/>
              <w:right w:w="100" w:type="dxa"/>
            </w:tcMar>
          </w:tcPr>
          <w:p>
            <w:pPr>
              <w:spacing w:after="20" w:before="20" w:line="247" w:lineRule="auto"/>
            </w:pPr>
            <w:r>
              <w:rPr>
                <w:sz w:val="18"/>
              </w:rPr>
              <w:t>84%</w:t>
            </w:r>
          </w:p>
        </w:tc>
        <w:tc>
          <w:tcPr>
            <w:tcW w:type="dxa" w:w="1652"/>
            <w:shd w:fill="FFFFFF"/>
            <w:tcMar>
              <w:top w:w="100" w:type="dxa"/>
              <w:bottom w:w="100" w:type="dxa"/>
              <w:left w:w="100" w:type="dxa"/>
              <w:right w:w="100" w:type="dxa"/>
            </w:tcMar>
          </w:tcPr>
          <w:p>
            <w:pPr>
              <w:spacing w:after="20" w:before="20" w:line="247" w:lineRule="auto"/>
            </w:pPr>
            <w:r>
              <w:rPr>
                <w:sz w:val="18"/>
              </w:rPr>
              <w:t>84%</w:t>
            </w:r>
          </w:p>
        </w:tc>
        <w:tc>
          <w:tcPr>
            <w:tcW w:type="dxa" w:w="2386"/>
            <w:shd w:fill="FFFFFF"/>
            <w:tcMar>
              <w:top w:w="100" w:type="dxa"/>
              <w:bottom w:w="100" w:type="dxa"/>
              <w:left w:w="100" w:type="dxa"/>
              <w:right w:w="100" w:type="dxa"/>
            </w:tcMar>
          </w:tcPr>
          <w:p>
            <w:pPr>
              <w:spacing w:after="20" w:before="20" w:line="247" w:lineRule="auto"/>
            </w:pPr>
            <w:r>
              <w:rPr>
                <w:sz w:val="18"/>
              </w:rPr>
              <w:t>51 / 352</w:t>
            </w:r>
          </w:p>
        </w:tc>
      </w:tr>
      <w:tr>
        <w:trPr>
          <w:cantSplit/>
        </w:trPr>
        <w:tc>
          <w:tcPr>
            <w:tcW w:type="dxa" w:w="1927"/>
            <w:shd w:fill="EFF4F8"/>
            <w:tcMar>
              <w:top w:w="100" w:type="dxa"/>
              <w:bottom w:w="100" w:type="dxa"/>
              <w:left w:w="100" w:type="dxa"/>
              <w:right w:w="100" w:type="dxa"/>
            </w:tcMar>
          </w:tcPr>
          <w:p>
            <w:pPr>
              <w:spacing w:after="20" w:before="20" w:line="247" w:lineRule="auto"/>
            </w:pPr>
            <w:r>
              <w:rPr>
                <w:sz w:val="18"/>
              </w:rPr>
              <w:t>8;0–11;11</w:t>
            </w:r>
          </w:p>
        </w:tc>
        <w:tc>
          <w:tcPr>
            <w:tcW w:type="dxa" w:w="2753"/>
            <w:shd w:fill="EFF4F8"/>
            <w:tcMar>
              <w:top w:w="100" w:type="dxa"/>
              <w:bottom w:w="100" w:type="dxa"/>
              <w:left w:w="100" w:type="dxa"/>
              <w:right w:w="100" w:type="dxa"/>
            </w:tcMar>
          </w:tcPr>
          <w:p>
            <w:pPr>
              <w:spacing w:after="20" w:before="20" w:line="247" w:lineRule="auto"/>
            </w:pPr>
            <w:r>
              <w:rPr>
                <w:sz w:val="18"/>
              </w:rPr>
              <w:t>Below 34</w:t>
            </w:r>
          </w:p>
        </w:tc>
        <w:tc>
          <w:tcPr>
            <w:tcW w:type="dxa" w:w="1652"/>
            <w:shd w:fill="EFF4F8"/>
            <w:tcMar>
              <w:top w:w="100" w:type="dxa"/>
              <w:bottom w:w="100" w:type="dxa"/>
              <w:left w:w="100" w:type="dxa"/>
              <w:right w:w="100" w:type="dxa"/>
            </w:tcMar>
          </w:tcPr>
          <w:p>
            <w:pPr>
              <w:spacing w:after="20" w:before="20" w:line="247" w:lineRule="auto"/>
            </w:pPr>
            <w:r>
              <w:rPr>
                <w:sz w:val="18"/>
              </w:rPr>
              <w:t>88%</w:t>
            </w:r>
          </w:p>
        </w:tc>
        <w:tc>
          <w:tcPr>
            <w:tcW w:type="dxa" w:w="1652"/>
            <w:shd w:fill="EFF4F8"/>
            <w:tcMar>
              <w:top w:w="100" w:type="dxa"/>
              <w:bottom w:w="100" w:type="dxa"/>
              <w:left w:w="100" w:type="dxa"/>
              <w:right w:w="100" w:type="dxa"/>
            </w:tcMar>
          </w:tcPr>
          <w:p>
            <w:pPr>
              <w:spacing w:after="20" w:before="20" w:line="247" w:lineRule="auto"/>
            </w:pPr>
            <w:r>
              <w:rPr>
                <w:sz w:val="18"/>
              </w:rPr>
              <w:t>85%</w:t>
            </w:r>
          </w:p>
        </w:tc>
        <w:tc>
          <w:tcPr>
            <w:tcW w:type="dxa" w:w="2386"/>
            <w:shd w:fill="EFF4F8"/>
            <w:tcMar>
              <w:top w:w="100" w:type="dxa"/>
              <w:bottom w:w="100" w:type="dxa"/>
              <w:left w:w="100" w:type="dxa"/>
              <w:right w:w="100" w:type="dxa"/>
            </w:tcMar>
          </w:tcPr>
          <w:p>
            <w:pPr>
              <w:spacing w:after="20" w:before="20" w:line="247" w:lineRule="auto"/>
            </w:pPr>
            <w:r>
              <w:rPr>
                <w:sz w:val="18"/>
              </w:rPr>
              <w:t>160 / 461</w:t>
            </w:r>
          </w:p>
        </w:tc>
      </w:tr>
      <w:tr>
        <w:trPr>
          <w:cantSplit/>
        </w:trPr>
        <w:tc>
          <w:tcPr>
            <w:tcW w:type="dxa" w:w="1927"/>
            <w:shd w:fill="FFFFFF"/>
            <w:tcMar>
              <w:top w:w="100" w:type="dxa"/>
              <w:bottom w:w="100" w:type="dxa"/>
              <w:left w:w="100" w:type="dxa"/>
              <w:right w:w="100" w:type="dxa"/>
            </w:tcMar>
          </w:tcPr>
          <w:p>
            <w:pPr>
              <w:spacing w:after="20" w:before="20" w:line="247" w:lineRule="auto"/>
            </w:pPr>
            <w:r>
              <w:rPr>
                <w:sz w:val="18"/>
              </w:rPr>
              <w:t>12;0–18;11</w:t>
            </w:r>
          </w:p>
        </w:tc>
        <w:tc>
          <w:tcPr>
            <w:tcW w:type="dxa" w:w="2753"/>
            <w:shd w:fill="FFFFFF"/>
            <w:tcMar>
              <w:top w:w="100" w:type="dxa"/>
              <w:bottom w:w="100" w:type="dxa"/>
              <w:left w:w="100" w:type="dxa"/>
              <w:right w:w="100" w:type="dxa"/>
            </w:tcMar>
          </w:tcPr>
          <w:p>
            <w:pPr>
              <w:spacing w:after="20" w:before="20" w:line="247" w:lineRule="auto"/>
            </w:pPr>
            <w:r>
              <w:rPr>
                <w:sz w:val="18"/>
              </w:rPr>
              <w:t>Below 42</w:t>
            </w:r>
          </w:p>
        </w:tc>
        <w:tc>
          <w:tcPr>
            <w:tcW w:type="dxa" w:w="1652"/>
            <w:shd w:fill="FFFFFF"/>
            <w:tcMar>
              <w:top w:w="100" w:type="dxa"/>
              <w:bottom w:w="100" w:type="dxa"/>
              <w:left w:w="100" w:type="dxa"/>
              <w:right w:w="100" w:type="dxa"/>
            </w:tcMar>
          </w:tcPr>
          <w:p>
            <w:pPr>
              <w:spacing w:after="20" w:before="20" w:line="247" w:lineRule="auto"/>
            </w:pPr>
            <w:r>
              <w:rPr>
                <w:sz w:val="18"/>
              </w:rPr>
              <w:t>86%</w:t>
            </w:r>
          </w:p>
        </w:tc>
        <w:tc>
          <w:tcPr>
            <w:tcW w:type="dxa" w:w="1652"/>
            <w:shd w:fill="FFFFFF"/>
            <w:tcMar>
              <w:top w:w="100" w:type="dxa"/>
              <w:bottom w:w="100" w:type="dxa"/>
              <w:left w:w="100" w:type="dxa"/>
              <w:right w:w="100" w:type="dxa"/>
            </w:tcMar>
          </w:tcPr>
          <w:p>
            <w:pPr>
              <w:spacing w:after="20" w:before="20" w:line="247" w:lineRule="auto"/>
            </w:pPr>
            <w:r>
              <w:rPr>
                <w:sz w:val="18"/>
              </w:rPr>
              <w:t>90%</w:t>
            </w:r>
          </w:p>
        </w:tc>
        <w:tc>
          <w:tcPr>
            <w:tcW w:type="dxa" w:w="2386"/>
            <w:shd w:fill="FFFFFF"/>
            <w:tcMar>
              <w:top w:w="100" w:type="dxa"/>
              <w:bottom w:w="100" w:type="dxa"/>
              <w:left w:w="100" w:type="dxa"/>
              <w:right w:w="100" w:type="dxa"/>
            </w:tcMar>
          </w:tcPr>
          <w:p>
            <w:pPr>
              <w:spacing w:after="20" w:before="20" w:line="247" w:lineRule="auto"/>
            </w:pPr>
            <w:r>
              <w:rPr>
                <w:sz w:val="18"/>
              </w:rPr>
              <w:t>68 / 442</w:t>
            </w:r>
          </w:p>
        </w:tc>
      </w:tr>
    </w:tbl>
    <w:p>
      <w:pPr>
        <w:spacing w:after="20"/>
      </w:pPr>
    </w:p>
    <w:p>
      <w:r/>
      <w:r>
        <w:rPr>
          <w:b/>
        </w:rPr>
        <w:t>Primary source:</w:t>
      </w:r>
      <w:r>
        <w:t xml:space="preserve"> technical manual, Tables 2.1–2.2. Identification Core is the sum of required age-specific subtest standard scores, not the Total score. At or above the cutoff is classified unaffected in this analysis. Use the manual for the correct subtests and scoring. [38]</w:t>
      </w:r>
    </w:p>
    <w:p>
      <w:pPr>
        <w:pStyle w:val="Heading3"/>
      </w:pPr>
      <w:r>
        <w:t>Who was represented?</w:t>
      </w:r>
    </w:p>
    <w:p>
      <w:r>
        <w:t>Native English speakers included simultaneous bilinguals exposed to English from birth. Sequential English learners were excluded. The publisher advises against diagnostic use for sequential English learners and against translating items. No separate Spanish-English accuracy estimate is supplied. [39]</w:t>
      </w:r>
    </w:p>
    <w:p>
      <w:r/>
      <w:r>
        <w:rPr>
          <w:b/>
        </w:rPr>
        <w:t>Keep two counts separate:</w:t>
      </w:r>
      <w:r>
        <w:t xml:space="preserve"> norm N=1,262; accuracy analysis used 1,255 controls and 279 participants with prior language/literacy diagnoses. Prior diagnosis with service eligibility supplied classification. Subtests and cutoffs were selected using these data; this excerpt does not describe an independent confirmation sample. Accuracy confidence intervals were not verified. [38, 42]</w:t>
      </w:r>
    </w:p>
    <w:p>
      <w:r>
        <w:rPr>
          <w:sz w:val="18"/>
        </w:rPr>
        <w:t>QUICK APPLICATION</w:t>
      </w:r>
    </w:p>
    <w:p>
      <w:pPr>
        <w:pStyle w:val="Heading2"/>
      </w:pPr>
      <w:r>
        <w:t>Two bilingual children, different fit</w:t>
      </w:r>
    </w:p>
    <w:p>
      <w:r>
        <w:t>Two 9-year-olds use Spanish and English. One has heard English from birth; the other began sustained English exposure at school.</w:t>
      </w:r>
    </w:p>
    <w:p>
      <w:r>
        <w:t>For the first child, examine all other fit and interpretation requirements. For the second, these diagnostic norms are not supported by the publisher’s stated eligibility. Gather appropriate evidence across languages.</w:t>
      </w:r>
    </w:p>
    <w:p>
      <w:r/>
      <w:r>
        <w:rPr>
          <w:b/>
        </w:rPr>
        <w:t>Clinical move:</w:t>
      </w:r>
      <w:r>
        <w:t xml:space="preserve"> The label bilingual is not enough to establish norm fit. Language history changes the assessment choice. [1, 39]</w:t>
      </w:r>
    </w:p>
    <w:p>
      <w:r>
        <w:br w:type="page"/>
      </w:r>
    </w:p>
    <w:p>
      <w:r>
        <w:rPr>
          <w:sz w:val="18"/>
        </w:rPr>
        <w:t>PRIMARY PUBLISHER ANALYSIS</w:t>
      </w:r>
    </w:p>
    <w:p>
      <w:pPr>
        <w:pStyle w:val="Heading1"/>
      </w:pPr>
      <w:r>
        <w:t>CASL-2: compare the original sample and cutoff</w:t>
      </w:r>
    </w:p>
    <w:p>
      <w:r>
        <w:t>English assessment, ages 3;0–21;11. These figures concern the General Language Ability Index (GLAI).</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2592"/>
        <w:gridCol w:w="2592"/>
      </w:tblGrid>
      <w:tr>
        <w:trPr>
          <w:cantSplit/>
          <w:tblHeader/>
        </w:trPr>
        <w:tc>
          <w:tcPr>
            <w:tcW w:type="dxa" w:w="5184"/>
            <w:shd w:fill="315985"/>
            <w:tcMar>
              <w:top w:w="100" w:type="dxa"/>
              <w:bottom w:w="100" w:type="dxa"/>
              <w:left w:w="100" w:type="dxa"/>
              <w:right w:w="100" w:type="dxa"/>
            </w:tcMar>
          </w:tcPr>
          <w:p>
            <w:pPr>
              <w:spacing w:after="20" w:before="20" w:line="247" w:lineRule="auto"/>
            </w:pPr>
            <w:r>
              <w:rPr>
                <w:b/>
                <w:color w:val="FFFFFF"/>
                <w:sz w:val="18"/>
              </w:rPr>
              <w:t>GLAI cutoff</w:t>
            </w:r>
          </w:p>
        </w:tc>
        <w:tc>
          <w:tcPr>
            <w:tcW w:type="dxa" w:w="2592"/>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2592"/>
            <w:shd w:fill="315985"/>
            <w:tcMar>
              <w:top w:w="100" w:type="dxa"/>
              <w:bottom w:w="100" w:type="dxa"/>
              <w:left w:w="100" w:type="dxa"/>
              <w:right w:w="100" w:type="dxa"/>
            </w:tcMar>
          </w:tcPr>
          <w:p>
            <w:pPr>
              <w:spacing w:after="20" w:before="20" w:line="247" w:lineRule="auto"/>
            </w:pPr>
            <w:r>
              <w:rPr>
                <w:b/>
                <w:color w:val="FFFFFF"/>
                <w:sz w:val="18"/>
              </w:rPr>
              <w:t>Specificity</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70</w:t>
            </w:r>
          </w:p>
        </w:tc>
        <w:tc>
          <w:tcPr>
            <w:tcW w:type="dxa" w:w="2592"/>
            <w:shd w:fill="FFFFFF"/>
            <w:tcMar>
              <w:top w:w="100" w:type="dxa"/>
              <w:bottom w:w="100" w:type="dxa"/>
              <w:left w:w="100" w:type="dxa"/>
              <w:right w:w="100" w:type="dxa"/>
            </w:tcMar>
          </w:tcPr>
          <w:p>
            <w:pPr>
              <w:spacing w:after="20" w:before="20" w:line="247" w:lineRule="auto"/>
            </w:pPr>
            <w:r>
              <w:rPr>
                <w:sz w:val="18"/>
              </w:rPr>
              <w:t>41%</w:t>
            </w:r>
          </w:p>
        </w:tc>
        <w:tc>
          <w:tcPr>
            <w:tcW w:type="dxa" w:w="2592"/>
            <w:shd w:fill="FFFFFF"/>
            <w:tcMar>
              <w:top w:w="100" w:type="dxa"/>
              <w:bottom w:w="100" w:type="dxa"/>
              <w:left w:w="100" w:type="dxa"/>
              <w:right w:w="100" w:type="dxa"/>
            </w:tcMar>
          </w:tcPr>
          <w:p>
            <w:pPr>
              <w:spacing w:after="20" w:before="20" w:line="247" w:lineRule="auto"/>
            </w:pPr>
            <w:r>
              <w:rPr>
                <w:sz w:val="18"/>
              </w:rPr>
              <w:t>99%</w:t>
            </w:r>
          </w:p>
        </w:tc>
      </w:tr>
      <w:tr>
        <w:trPr>
          <w:cantSplit/>
        </w:trPr>
        <w:tc>
          <w:tcPr>
            <w:tcW w:type="dxa" w:w="5184"/>
            <w:shd w:fill="EFF4F8"/>
            <w:tcMar>
              <w:top w:w="100" w:type="dxa"/>
              <w:bottom w:w="100" w:type="dxa"/>
              <w:left w:w="100" w:type="dxa"/>
              <w:right w:w="100" w:type="dxa"/>
            </w:tcMar>
          </w:tcPr>
          <w:p>
            <w:pPr>
              <w:spacing w:after="20" w:before="20" w:line="247" w:lineRule="auto"/>
            </w:pPr>
            <w:r>
              <w:rPr>
                <w:sz w:val="18"/>
              </w:rPr>
              <w:t>75</w:t>
            </w:r>
          </w:p>
        </w:tc>
        <w:tc>
          <w:tcPr>
            <w:tcW w:type="dxa" w:w="2592"/>
            <w:shd w:fill="EFF4F8"/>
            <w:tcMar>
              <w:top w:w="100" w:type="dxa"/>
              <w:bottom w:w="100" w:type="dxa"/>
              <w:left w:w="100" w:type="dxa"/>
              <w:right w:w="100" w:type="dxa"/>
            </w:tcMar>
          </w:tcPr>
          <w:p>
            <w:pPr>
              <w:spacing w:after="20" w:before="20" w:line="247" w:lineRule="auto"/>
            </w:pPr>
            <w:r>
              <w:rPr>
                <w:sz w:val="18"/>
              </w:rPr>
              <w:t>47%</w:t>
            </w:r>
          </w:p>
        </w:tc>
        <w:tc>
          <w:tcPr>
            <w:tcW w:type="dxa" w:w="2592"/>
            <w:shd w:fill="EFF4F8"/>
            <w:tcMar>
              <w:top w:w="100" w:type="dxa"/>
              <w:bottom w:w="100" w:type="dxa"/>
              <w:left w:w="100" w:type="dxa"/>
              <w:right w:w="100" w:type="dxa"/>
            </w:tcMar>
          </w:tcPr>
          <w:p>
            <w:pPr>
              <w:spacing w:after="20" w:before="20" w:line="247" w:lineRule="auto"/>
            </w:pPr>
            <w:r>
              <w:rPr>
                <w:sz w:val="18"/>
              </w:rPr>
              <w:t>96%</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80</w:t>
            </w:r>
          </w:p>
        </w:tc>
        <w:tc>
          <w:tcPr>
            <w:tcW w:type="dxa" w:w="2592"/>
            <w:shd w:fill="FFFFFF"/>
            <w:tcMar>
              <w:top w:w="100" w:type="dxa"/>
              <w:bottom w:w="100" w:type="dxa"/>
              <w:left w:w="100" w:type="dxa"/>
              <w:right w:w="100" w:type="dxa"/>
            </w:tcMar>
          </w:tcPr>
          <w:p>
            <w:pPr>
              <w:spacing w:after="20" w:before="20" w:line="247" w:lineRule="auto"/>
            </w:pPr>
            <w:r>
              <w:rPr>
                <w:sz w:val="18"/>
              </w:rPr>
              <w:t>64%</w:t>
            </w:r>
          </w:p>
        </w:tc>
        <w:tc>
          <w:tcPr>
            <w:tcW w:type="dxa" w:w="2592"/>
            <w:shd w:fill="FFFFFF"/>
            <w:tcMar>
              <w:top w:w="100" w:type="dxa"/>
              <w:bottom w:w="100" w:type="dxa"/>
              <w:left w:w="100" w:type="dxa"/>
              <w:right w:w="100" w:type="dxa"/>
            </w:tcMar>
          </w:tcPr>
          <w:p>
            <w:pPr>
              <w:spacing w:after="20" w:before="20" w:line="247" w:lineRule="auto"/>
            </w:pPr>
            <w:r>
              <w:rPr>
                <w:sz w:val="18"/>
              </w:rPr>
              <w:t>91%</w:t>
            </w:r>
          </w:p>
        </w:tc>
      </w:tr>
      <w:tr>
        <w:trPr>
          <w:cantSplit/>
        </w:trPr>
        <w:tc>
          <w:tcPr>
            <w:tcW w:type="dxa" w:w="5184"/>
            <w:shd w:fill="EFF4F8"/>
            <w:tcMar>
              <w:top w:w="100" w:type="dxa"/>
              <w:bottom w:w="100" w:type="dxa"/>
              <w:left w:w="100" w:type="dxa"/>
              <w:right w:w="100" w:type="dxa"/>
            </w:tcMar>
          </w:tcPr>
          <w:p>
            <w:pPr>
              <w:spacing w:after="20" w:before="20" w:line="247" w:lineRule="auto"/>
            </w:pPr>
            <w:r>
              <w:rPr>
                <w:sz w:val="18"/>
              </w:rPr>
              <w:t>85</w:t>
            </w:r>
          </w:p>
        </w:tc>
        <w:tc>
          <w:tcPr>
            <w:tcW w:type="dxa" w:w="2592"/>
            <w:shd w:fill="EFF4F8"/>
            <w:tcMar>
              <w:top w:w="100" w:type="dxa"/>
              <w:bottom w:w="100" w:type="dxa"/>
              <w:left w:w="100" w:type="dxa"/>
              <w:right w:w="100" w:type="dxa"/>
            </w:tcMar>
          </w:tcPr>
          <w:p>
            <w:pPr>
              <w:spacing w:after="20" w:before="20" w:line="247" w:lineRule="auto"/>
            </w:pPr>
            <w:r>
              <w:rPr>
                <w:sz w:val="18"/>
              </w:rPr>
              <w:t>74%</w:t>
            </w:r>
          </w:p>
        </w:tc>
        <w:tc>
          <w:tcPr>
            <w:tcW w:type="dxa" w:w="2592"/>
            <w:shd w:fill="EFF4F8"/>
            <w:tcMar>
              <w:top w:w="100" w:type="dxa"/>
              <w:bottom w:w="100" w:type="dxa"/>
              <w:left w:w="100" w:type="dxa"/>
              <w:right w:w="100" w:type="dxa"/>
            </w:tcMar>
          </w:tcPr>
          <w:p>
            <w:pPr>
              <w:spacing w:after="20" w:before="20" w:line="247" w:lineRule="auto"/>
            </w:pPr>
            <w:r>
              <w:rPr>
                <w:sz w:val="18"/>
              </w:rPr>
              <w:t>84%</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90</w:t>
            </w:r>
          </w:p>
        </w:tc>
        <w:tc>
          <w:tcPr>
            <w:tcW w:type="dxa" w:w="2592"/>
            <w:shd w:fill="FFFFFF"/>
            <w:tcMar>
              <w:top w:w="100" w:type="dxa"/>
              <w:bottom w:w="100" w:type="dxa"/>
              <w:left w:w="100" w:type="dxa"/>
              <w:right w:w="100" w:type="dxa"/>
            </w:tcMar>
          </w:tcPr>
          <w:p>
            <w:pPr>
              <w:spacing w:after="20" w:before="20" w:line="247" w:lineRule="auto"/>
            </w:pPr>
            <w:r>
              <w:rPr>
                <w:sz w:val="18"/>
              </w:rPr>
              <w:t>86%</w:t>
            </w:r>
          </w:p>
        </w:tc>
        <w:tc>
          <w:tcPr>
            <w:tcW w:type="dxa" w:w="2592"/>
            <w:shd w:fill="FFFFFF"/>
            <w:tcMar>
              <w:top w:w="100" w:type="dxa"/>
              <w:bottom w:w="100" w:type="dxa"/>
              <w:left w:w="100" w:type="dxa"/>
              <w:right w:w="100" w:type="dxa"/>
            </w:tcMar>
          </w:tcPr>
          <w:p>
            <w:pPr>
              <w:spacing w:after="20" w:before="20" w:line="247" w:lineRule="auto"/>
            </w:pPr>
            <w:r>
              <w:rPr>
                <w:sz w:val="18"/>
              </w:rPr>
              <w:t>76%</w:t>
            </w:r>
          </w:p>
        </w:tc>
      </w:tr>
    </w:tbl>
    <w:p>
      <w:pPr>
        <w:spacing w:after="20"/>
      </w:pPr>
    </w:p>
    <w:p>
      <w:r/>
      <w:r>
        <w:rPr>
          <w:b/>
        </w:rPr>
        <w:t>Source:</w:t>
      </w:r>
      <w:r>
        <w:t xml:space="preserve"> WPS brief, Table 2, reproducing the original manual analysis. Clinical N=271 with mixed diagnoses, including language disorder, hearing loss, autism, social-pragmatic disorder, intellectual disability, learning disability and developmental delay. Original analytic control N and accuracy confidence intervals were not verified. This is not a DLD-only study. [40]</w:t>
      </w:r>
    </w:p>
    <w:p>
      <w:r/>
      <w:r>
        <w:rPr>
          <w:b/>
        </w:rPr>
        <w:t>Norms and bilingual fit:</w:t>
      </w:r>
      <w:r>
        <w:t xml:space="preserve"> N=2,394, including some bilingual/multilingual participants judged proficient in English. No Spanish-English accuracy cell is supplied. English proficiency and the assessment question still matter; these estimates do not validate translated items. [41]</w:t>
      </w:r>
    </w:p>
    <w:p>
      <w:pPr>
        <w:pStyle w:val="Heading3"/>
      </w:pPr>
      <w:r>
        <w:t>Do not quietly switch samples</w:t>
      </w:r>
    </w:p>
    <w:p>
      <w:r>
        <w:t>The same WPS brief also reports higher accuracy after restricting the clinical sample to moderate/severe presentations. That reanalysis is a different population and is not independent validation. The table above preserves the original diverse sample. [40]</w:t>
      </w:r>
    </w:p>
    <w:p>
      <w:r>
        <w:rPr>
          <w:sz w:val="18"/>
        </w:rPr>
        <w:t>QUICK APPLICATION</w:t>
      </w:r>
    </w:p>
    <w:p>
      <w:pPr>
        <w:pStyle w:val="Heading2"/>
      </w:pPr>
      <w:r>
        <w:t>A higher cutoff changes two kinds of error</w:t>
      </w:r>
    </w:p>
    <w:p>
      <w:r>
        <w:t>At cutoff 85, the reported pair is 74%/84%. At cutoff 90, it is 86%/76%.</w:t>
      </w:r>
    </w:p>
    <w:p>
      <w:r>
        <w:t>Sensitivity rises while specificity falls: more affected participants are identified, and more unaffected participants test positive. Neither pair is this child’s probability of disorder.</w:t>
      </w:r>
    </w:p>
    <w:p>
      <w:r/>
      <w:r>
        <w:rPr>
          <w:b/>
        </w:rPr>
        <w:t>Clinical move:</w:t>
      </w:r>
      <w:r>
        <w:t xml:space="preserve"> Do not choose a cutoff by the larger percentage alone. Follow the authorized interpretation procedure and use converging evidence.</w:t>
      </w:r>
    </w:p>
    <w:p>
      <w:r>
        <w:br w:type="page"/>
      </w:r>
    </w:p>
    <w:p>
      <w:r>
        <w:rPr>
          <w:sz w:val="18"/>
        </w:rPr>
        <w:t>BAPA AND GFTA</w:t>
      </w:r>
    </w:p>
    <w:p>
      <w:pPr>
        <w:pStyle w:val="Heading1"/>
      </w:pPr>
      <w:r>
        <w:t>Speech tools and regional representation</w:t>
      </w:r>
    </w:p>
    <w:p>
      <w:r>
        <w:t>Single-word results need connected speech, intelligibility and language-specific phonological analysis.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078"/>
        <w:gridCol w:w="1481"/>
        <w:gridCol w:w="1904"/>
        <w:gridCol w:w="1904"/>
      </w:tblGrid>
      <w:tr>
        <w:trPr>
          <w:cantSplit/>
          <w:tblHeader/>
        </w:trPr>
        <w:tc>
          <w:tcPr>
            <w:tcW w:type="dxa" w:w="5078"/>
            <w:shd w:fill="315985"/>
            <w:tcMar>
              <w:top w:w="100" w:type="dxa"/>
              <w:bottom w:w="100" w:type="dxa"/>
              <w:left w:w="100" w:type="dxa"/>
              <w:right w:w="100" w:type="dxa"/>
            </w:tcMar>
          </w:tcPr>
          <w:p>
            <w:pPr>
              <w:spacing w:after="20" w:before="20" w:line="247" w:lineRule="auto"/>
            </w:pPr>
            <w:r>
              <w:rPr>
                <w:b/>
                <w:color w:val="FFFFFF"/>
                <w:sz w:val="18"/>
              </w:rPr>
              <w:t>Tool or BAPA scoring group</w:t>
            </w:r>
          </w:p>
        </w:tc>
        <w:tc>
          <w:tcPr>
            <w:tcW w:type="dxa" w:w="1481"/>
            <w:shd w:fill="315985"/>
            <w:tcMar>
              <w:top w:w="100" w:type="dxa"/>
              <w:bottom w:w="100" w:type="dxa"/>
              <w:left w:w="100" w:type="dxa"/>
              <w:right w:w="100" w:type="dxa"/>
            </w:tcMar>
          </w:tcPr>
          <w:p>
            <w:pPr>
              <w:spacing w:after="20" w:before="20" w:line="247" w:lineRule="auto"/>
            </w:pPr>
            <w:r>
              <w:rPr>
                <w:b/>
                <w:color w:val="FFFFFF"/>
                <w:sz w:val="18"/>
              </w:rPr>
              <w:t>Cutoff</w:t>
            </w:r>
          </w:p>
        </w:tc>
        <w:tc>
          <w:tcPr>
            <w:tcW w:type="dxa" w:w="1904"/>
            <w:shd w:fill="315985"/>
            <w:tcMar>
              <w:top w:w="100" w:type="dxa"/>
              <w:bottom w:w="100" w:type="dxa"/>
              <w:left w:w="100" w:type="dxa"/>
              <w:right w:w="100" w:type="dxa"/>
            </w:tcMar>
          </w:tcPr>
          <w:p>
            <w:pPr>
              <w:spacing w:after="20" w:before="20" w:line="247" w:lineRule="auto"/>
            </w:pPr>
            <w:r>
              <w:rPr>
                <w:b/>
                <w:color w:val="FFFFFF"/>
                <w:sz w:val="18"/>
              </w:rPr>
              <w:t>Sensitivity</w:t>
            </w:r>
          </w:p>
        </w:tc>
        <w:tc>
          <w:tcPr>
            <w:tcW w:type="dxa" w:w="1904"/>
            <w:shd w:fill="315985"/>
            <w:tcMar>
              <w:top w:w="100" w:type="dxa"/>
              <w:bottom w:w="100" w:type="dxa"/>
              <w:left w:w="100" w:type="dxa"/>
              <w:right w:w="100" w:type="dxa"/>
            </w:tcMar>
          </w:tcPr>
          <w:p>
            <w:pPr>
              <w:spacing w:after="20" w:before="20" w:line="247" w:lineRule="auto"/>
            </w:pPr>
            <w:r>
              <w:rPr>
                <w:b/>
                <w:color w:val="FFFFFF"/>
                <w:sz w:val="18"/>
              </w:rPr>
              <w:t>Specificity</w:t>
            </w:r>
          </w:p>
        </w:tc>
      </w:tr>
      <w:tr>
        <w:trPr>
          <w:cantSplit/>
        </w:trPr>
        <w:tc>
          <w:tcPr>
            <w:tcW w:type="dxa" w:w="5078"/>
            <w:shd w:fill="FFFFFF"/>
            <w:tcMar>
              <w:top w:w="100" w:type="dxa"/>
              <w:bottom w:w="100" w:type="dxa"/>
              <w:left w:w="100" w:type="dxa"/>
              <w:right w:w="100" w:type="dxa"/>
            </w:tcMar>
          </w:tcPr>
          <w:p>
            <w:pPr>
              <w:spacing w:after="20" w:before="20" w:line="247" w:lineRule="auto"/>
            </w:pPr>
            <w:r>
              <w:rPr>
                <w:sz w:val="18"/>
              </w:rPr>
              <w:t>BAPA Spanish/bilingual Spanish [14]</w:t>
            </w:r>
          </w:p>
        </w:tc>
        <w:tc>
          <w:tcPr>
            <w:tcW w:type="dxa" w:w="1481"/>
            <w:shd w:fill="FFFFFF"/>
            <w:tcMar>
              <w:top w:w="100" w:type="dxa"/>
              <w:bottom w:w="100" w:type="dxa"/>
              <w:left w:w="100" w:type="dxa"/>
              <w:right w:w="100" w:type="dxa"/>
            </w:tcMar>
          </w:tcPr>
          <w:p>
            <w:pPr>
              <w:spacing w:after="20" w:before="20" w:line="247" w:lineRule="auto"/>
            </w:pPr>
            <w:r>
              <w:rPr>
                <w:sz w:val="18"/>
              </w:rPr>
              <w:t>SS 85</w:t>
            </w:r>
          </w:p>
        </w:tc>
        <w:tc>
          <w:tcPr>
            <w:tcW w:type="dxa" w:w="1904"/>
            <w:shd w:fill="FFFFFF"/>
            <w:tcMar>
              <w:top w:w="100" w:type="dxa"/>
              <w:bottom w:w="100" w:type="dxa"/>
              <w:left w:w="100" w:type="dxa"/>
              <w:right w:w="100" w:type="dxa"/>
            </w:tcMar>
          </w:tcPr>
          <w:p>
            <w:pPr>
              <w:spacing w:after="20" w:before="20" w:line="247" w:lineRule="auto"/>
            </w:pPr>
            <w:r>
              <w:rPr>
                <w:sz w:val="18"/>
              </w:rPr>
              <w:t>94%</w:t>
            </w:r>
          </w:p>
        </w:tc>
        <w:tc>
          <w:tcPr>
            <w:tcW w:type="dxa" w:w="1904"/>
            <w:shd w:fill="FFFFFF"/>
            <w:tcMar>
              <w:top w:w="100" w:type="dxa"/>
              <w:bottom w:w="100" w:type="dxa"/>
              <w:left w:w="100" w:type="dxa"/>
              <w:right w:w="100" w:type="dxa"/>
            </w:tcMar>
          </w:tcPr>
          <w:p>
            <w:pPr>
              <w:spacing w:after="20" w:before="20" w:line="247" w:lineRule="auto"/>
            </w:pPr>
            <w:r>
              <w:rPr>
                <w:sz w:val="18"/>
              </w:rPr>
              <w:t>90%</w:t>
            </w:r>
          </w:p>
        </w:tc>
      </w:tr>
      <w:tr>
        <w:trPr>
          <w:cantSplit/>
        </w:trPr>
        <w:tc>
          <w:tcPr>
            <w:tcW w:type="dxa" w:w="5078"/>
            <w:shd w:fill="EFF4F8"/>
            <w:tcMar>
              <w:top w:w="100" w:type="dxa"/>
              <w:bottom w:w="100" w:type="dxa"/>
              <w:left w:w="100" w:type="dxa"/>
              <w:right w:w="100" w:type="dxa"/>
            </w:tcMar>
          </w:tcPr>
          <w:p>
            <w:pPr>
              <w:spacing w:after="20" w:before="20" w:line="247" w:lineRule="auto"/>
            </w:pPr>
            <w:r>
              <w:rPr>
                <w:sz w:val="18"/>
              </w:rPr>
              <w:t>Same group [14]</w:t>
            </w:r>
          </w:p>
        </w:tc>
        <w:tc>
          <w:tcPr>
            <w:tcW w:type="dxa" w:w="1481"/>
            <w:shd w:fill="EFF4F8"/>
            <w:tcMar>
              <w:top w:w="100" w:type="dxa"/>
              <w:bottom w:w="100" w:type="dxa"/>
              <w:left w:w="100" w:type="dxa"/>
              <w:right w:w="100" w:type="dxa"/>
            </w:tcMar>
          </w:tcPr>
          <w:p>
            <w:pPr>
              <w:spacing w:after="20" w:before="20" w:line="247" w:lineRule="auto"/>
            </w:pPr>
            <w:r>
              <w:rPr>
                <w:sz w:val="18"/>
              </w:rPr>
              <w:t>SS 77</w:t>
            </w:r>
          </w:p>
        </w:tc>
        <w:tc>
          <w:tcPr>
            <w:tcW w:type="dxa" w:w="1904"/>
            <w:shd w:fill="EFF4F8"/>
            <w:tcMar>
              <w:top w:w="100" w:type="dxa"/>
              <w:bottom w:w="100" w:type="dxa"/>
              <w:left w:w="100" w:type="dxa"/>
              <w:right w:w="100" w:type="dxa"/>
            </w:tcMar>
          </w:tcPr>
          <w:p>
            <w:pPr>
              <w:spacing w:after="20" w:before="20" w:line="247" w:lineRule="auto"/>
            </w:pPr>
            <w:r>
              <w:rPr>
                <w:sz w:val="18"/>
              </w:rPr>
              <w:t>72%</w:t>
            </w:r>
          </w:p>
        </w:tc>
        <w:tc>
          <w:tcPr>
            <w:tcW w:type="dxa" w:w="1904"/>
            <w:shd w:fill="EFF4F8"/>
            <w:tcMar>
              <w:top w:w="100" w:type="dxa"/>
              <w:bottom w:w="100" w:type="dxa"/>
              <w:left w:w="100" w:type="dxa"/>
              <w:right w:w="100" w:type="dxa"/>
            </w:tcMar>
          </w:tcPr>
          <w:p>
            <w:pPr>
              <w:spacing w:after="20" w:before="20" w:line="247" w:lineRule="auto"/>
            </w:pPr>
            <w:r>
              <w:rPr>
                <w:sz w:val="18"/>
              </w:rPr>
              <w:t>92%</w:t>
            </w:r>
          </w:p>
        </w:tc>
      </w:tr>
      <w:tr>
        <w:trPr>
          <w:cantSplit/>
        </w:trPr>
        <w:tc>
          <w:tcPr>
            <w:tcW w:type="dxa" w:w="5078"/>
            <w:shd w:fill="FFFFFF"/>
            <w:tcMar>
              <w:top w:w="100" w:type="dxa"/>
              <w:bottom w:w="100" w:type="dxa"/>
              <w:left w:w="100" w:type="dxa"/>
              <w:right w:w="100" w:type="dxa"/>
            </w:tcMar>
          </w:tcPr>
          <w:p>
            <w:pPr>
              <w:spacing w:after="20" w:before="20" w:line="247" w:lineRule="auto"/>
            </w:pPr>
            <w:r>
              <w:rPr>
                <w:sz w:val="18"/>
              </w:rPr>
              <w:t>Same group [14]</w:t>
            </w:r>
          </w:p>
        </w:tc>
        <w:tc>
          <w:tcPr>
            <w:tcW w:type="dxa" w:w="1481"/>
            <w:shd w:fill="FFFFFF"/>
            <w:tcMar>
              <w:top w:w="100" w:type="dxa"/>
              <w:bottom w:w="100" w:type="dxa"/>
              <w:left w:w="100" w:type="dxa"/>
              <w:right w:w="100" w:type="dxa"/>
            </w:tcMar>
          </w:tcPr>
          <w:p>
            <w:pPr>
              <w:spacing w:after="20" w:before="20" w:line="247" w:lineRule="auto"/>
            </w:pPr>
            <w:r>
              <w:rPr>
                <w:sz w:val="18"/>
              </w:rPr>
              <w:t>SS 70</w:t>
            </w:r>
          </w:p>
        </w:tc>
        <w:tc>
          <w:tcPr>
            <w:tcW w:type="dxa" w:w="1904"/>
            <w:shd w:fill="FFFFFF"/>
            <w:tcMar>
              <w:top w:w="100" w:type="dxa"/>
              <w:bottom w:w="100" w:type="dxa"/>
              <w:left w:w="100" w:type="dxa"/>
              <w:right w:w="100" w:type="dxa"/>
            </w:tcMar>
          </w:tcPr>
          <w:p>
            <w:pPr>
              <w:spacing w:after="20" w:before="20" w:line="247" w:lineRule="auto"/>
            </w:pPr>
            <w:r>
              <w:rPr>
                <w:sz w:val="18"/>
              </w:rPr>
              <w:t>56%</w:t>
            </w:r>
          </w:p>
        </w:tc>
        <w:tc>
          <w:tcPr>
            <w:tcW w:type="dxa" w:w="1904"/>
            <w:shd w:fill="FFFFFF"/>
            <w:tcMar>
              <w:top w:w="100" w:type="dxa"/>
              <w:bottom w:w="100" w:type="dxa"/>
              <w:left w:w="100" w:type="dxa"/>
              <w:right w:w="100" w:type="dxa"/>
            </w:tcMar>
          </w:tcPr>
          <w:p>
            <w:pPr>
              <w:spacing w:after="20" w:before="20" w:line="247" w:lineRule="auto"/>
            </w:pPr>
            <w:r>
              <w:rPr>
                <w:sz w:val="18"/>
              </w:rPr>
              <w:t>95%</w:t>
            </w:r>
          </w:p>
        </w:tc>
      </w:tr>
      <w:tr>
        <w:trPr>
          <w:cantSplit/>
        </w:trPr>
        <w:tc>
          <w:tcPr>
            <w:tcW w:type="dxa" w:w="5078"/>
            <w:shd w:fill="EFF4F8"/>
            <w:tcMar>
              <w:top w:w="100" w:type="dxa"/>
              <w:bottom w:w="100" w:type="dxa"/>
              <w:left w:w="100" w:type="dxa"/>
              <w:right w:w="100" w:type="dxa"/>
            </w:tcMar>
          </w:tcPr>
          <w:p>
            <w:pPr>
              <w:spacing w:after="20" w:before="20" w:line="247" w:lineRule="auto"/>
            </w:pPr>
            <w:r>
              <w:rPr>
                <w:sz w:val="18"/>
              </w:rPr>
              <w:t>BAPA bilingual English [14]</w:t>
            </w:r>
          </w:p>
        </w:tc>
        <w:tc>
          <w:tcPr>
            <w:tcW w:type="dxa" w:w="1481"/>
            <w:shd w:fill="EFF4F8"/>
            <w:tcMar>
              <w:top w:w="100" w:type="dxa"/>
              <w:bottom w:w="100" w:type="dxa"/>
              <w:left w:w="100" w:type="dxa"/>
              <w:right w:w="100" w:type="dxa"/>
            </w:tcMar>
          </w:tcPr>
          <w:p>
            <w:pPr>
              <w:spacing w:after="20" w:before="20" w:line="247" w:lineRule="auto"/>
            </w:pPr>
            <w:r>
              <w:rPr>
                <w:sz w:val="18"/>
              </w:rPr>
              <w:t>SS 85</w:t>
            </w:r>
          </w:p>
        </w:tc>
        <w:tc>
          <w:tcPr>
            <w:tcW w:type="dxa" w:w="1904"/>
            <w:shd w:fill="EFF4F8"/>
            <w:tcMar>
              <w:top w:w="100" w:type="dxa"/>
              <w:bottom w:w="100" w:type="dxa"/>
              <w:left w:w="100" w:type="dxa"/>
              <w:right w:w="100" w:type="dxa"/>
            </w:tcMar>
          </w:tcPr>
          <w:p>
            <w:pPr>
              <w:spacing w:after="20" w:before="20" w:line="247" w:lineRule="auto"/>
            </w:pPr>
            <w:r>
              <w:rPr>
                <w:sz w:val="18"/>
              </w:rPr>
              <w:t>92%</w:t>
            </w:r>
          </w:p>
        </w:tc>
        <w:tc>
          <w:tcPr>
            <w:tcW w:type="dxa" w:w="1904"/>
            <w:shd w:fill="EFF4F8"/>
            <w:tcMar>
              <w:top w:w="100" w:type="dxa"/>
              <w:bottom w:w="100" w:type="dxa"/>
              <w:left w:w="100" w:type="dxa"/>
              <w:right w:w="100" w:type="dxa"/>
            </w:tcMar>
          </w:tcPr>
          <w:p>
            <w:pPr>
              <w:spacing w:after="20" w:before="20" w:line="247" w:lineRule="auto"/>
            </w:pPr>
            <w:r>
              <w:rPr>
                <w:sz w:val="18"/>
              </w:rPr>
              <w:t>87%</w:t>
            </w:r>
          </w:p>
        </w:tc>
      </w:tr>
      <w:tr>
        <w:trPr>
          <w:cantSplit/>
        </w:trPr>
        <w:tc>
          <w:tcPr>
            <w:tcW w:type="dxa" w:w="5078"/>
            <w:shd w:fill="FFFFFF"/>
            <w:tcMar>
              <w:top w:w="100" w:type="dxa"/>
              <w:bottom w:w="100" w:type="dxa"/>
              <w:left w:w="100" w:type="dxa"/>
              <w:right w:w="100" w:type="dxa"/>
            </w:tcMar>
          </w:tcPr>
          <w:p>
            <w:pPr>
              <w:spacing w:after="20" w:before="20" w:line="247" w:lineRule="auto"/>
            </w:pPr>
            <w:r>
              <w:rPr>
                <w:sz w:val="18"/>
              </w:rPr>
              <w:t>Same group [14]</w:t>
            </w:r>
          </w:p>
        </w:tc>
        <w:tc>
          <w:tcPr>
            <w:tcW w:type="dxa" w:w="1481"/>
            <w:shd w:fill="FFFFFF"/>
            <w:tcMar>
              <w:top w:w="100" w:type="dxa"/>
              <w:bottom w:w="100" w:type="dxa"/>
              <w:left w:w="100" w:type="dxa"/>
              <w:right w:w="100" w:type="dxa"/>
            </w:tcMar>
          </w:tcPr>
          <w:p>
            <w:pPr>
              <w:spacing w:after="20" w:before="20" w:line="247" w:lineRule="auto"/>
            </w:pPr>
            <w:r>
              <w:rPr>
                <w:sz w:val="18"/>
              </w:rPr>
              <w:t>SS 77</w:t>
            </w:r>
          </w:p>
        </w:tc>
        <w:tc>
          <w:tcPr>
            <w:tcW w:type="dxa" w:w="1904"/>
            <w:shd w:fill="FFFFFF"/>
            <w:tcMar>
              <w:top w:w="100" w:type="dxa"/>
              <w:bottom w:w="100" w:type="dxa"/>
              <w:left w:w="100" w:type="dxa"/>
              <w:right w:w="100" w:type="dxa"/>
            </w:tcMar>
          </w:tcPr>
          <w:p>
            <w:pPr>
              <w:spacing w:after="20" w:before="20" w:line="247" w:lineRule="auto"/>
            </w:pPr>
            <w:r>
              <w:rPr>
                <w:sz w:val="18"/>
              </w:rPr>
              <w:t>92%</w:t>
            </w:r>
          </w:p>
        </w:tc>
        <w:tc>
          <w:tcPr>
            <w:tcW w:type="dxa" w:w="1904"/>
            <w:shd w:fill="FFFFFF"/>
            <w:tcMar>
              <w:top w:w="100" w:type="dxa"/>
              <w:bottom w:w="100" w:type="dxa"/>
              <w:left w:w="100" w:type="dxa"/>
              <w:right w:w="100" w:type="dxa"/>
            </w:tcMar>
          </w:tcPr>
          <w:p>
            <w:pPr>
              <w:spacing w:after="20" w:before="20" w:line="247" w:lineRule="auto"/>
            </w:pPr>
            <w:r>
              <w:rPr>
                <w:sz w:val="18"/>
              </w:rPr>
              <w:t>93%</w:t>
            </w:r>
          </w:p>
        </w:tc>
      </w:tr>
      <w:tr>
        <w:trPr>
          <w:cantSplit/>
        </w:trPr>
        <w:tc>
          <w:tcPr>
            <w:tcW w:type="dxa" w:w="5078"/>
            <w:shd w:fill="EFF4F8"/>
            <w:tcMar>
              <w:top w:w="100" w:type="dxa"/>
              <w:bottom w:w="100" w:type="dxa"/>
              <w:left w:w="100" w:type="dxa"/>
              <w:right w:w="100" w:type="dxa"/>
            </w:tcMar>
          </w:tcPr>
          <w:p>
            <w:pPr>
              <w:spacing w:after="20" w:before="20" w:line="247" w:lineRule="auto"/>
            </w:pPr>
            <w:r>
              <w:rPr>
                <w:sz w:val="18"/>
              </w:rPr>
              <w:t>Same group [14]</w:t>
            </w:r>
          </w:p>
        </w:tc>
        <w:tc>
          <w:tcPr>
            <w:tcW w:type="dxa" w:w="1481"/>
            <w:shd w:fill="EFF4F8"/>
            <w:tcMar>
              <w:top w:w="100" w:type="dxa"/>
              <w:bottom w:w="100" w:type="dxa"/>
              <w:left w:w="100" w:type="dxa"/>
              <w:right w:w="100" w:type="dxa"/>
            </w:tcMar>
          </w:tcPr>
          <w:p>
            <w:pPr>
              <w:spacing w:after="20" w:before="20" w:line="247" w:lineRule="auto"/>
            </w:pPr>
            <w:r>
              <w:rPr>
                <w:sz w:val="18"/>
              </w:rPr>
              <w:t>SS 70</w:t>
            </w:r>
          </w:p>
        </w:tc>
        <w:tc>
          <w:tcPr>
            <w:tcW w:type="dxa" w:w="1904"/>
            <w:shd w:fill="EFF4F8"/>
            <w:tcMar>
              <w:top w:w="100" w:type="dxa"/>
              <w:bottom w:w="100" w:type="dxa"/>
              <w:left w:w="100" w:type="dxa"/>
              <w:right w:w="100" w:type="dxa"/>
            </w:tcMar>
          </w:tcPr>
          <w:p>
            <w:pPr>
              <w:spacing w:after="20" w:before="20" w:line="247" w:lineRule="auto"/>
            </w:pPr>
            <w:r>
              <w:rPr>
                <w:sz w:val="18"/>
              </w:rPr>
              <w:t>77%</w:t>
            </w:r>
          </w:p>
        </w:tc>
        <w:tc>
          <w:tcPr>
            <w:tcW w:type="dxa" w:w="1904"/>
            <w:shd w:fill="EFF4F8"/>
            <w:tcMar>
              <w:top w:w="100" w:type="dxa"/>
              <w:bottom w:w="100" w:type="dxa"/>
              <w:left w:w="100" w:type="dxa"/>
              <w:right w:w="100" w:type="dxa"/>
            </w:tcMar>
          </w:tcPr>
          <w:p>
            <w:pPr>
              <w:spacing w:after="20" w:before="20" w:line="247" w:lineRule="auto"/>
            </w:pPr>
            <w:r>
              <w:rPr>
                <w:sz w:val="18"/>
              </w:rPr>
              <w:t>96%</w:t>
            </w:r>
          </w:p>
        </w:tc>
      </w:tr>
      <w:tr>
        <w:trPr>
          <w:cantSplit/>
        </w:trPr>
        <w:tc>
          <w:tcPr>
            <w:tcW w:type="dxa" w:w="5078"/>
            <w:shd w:fill="FFFFFF"/>
            <w:tcMar>
              <w:top w:w="100" w:type="dxa"/>
              <w:bottom w:w="100" w:type="dxa"/>
              <w:left w:w="100" w:type="dxa"/>
              <w:right w:w="100" w:type="dxa"/>
            </w:tcMar>
          </w:tcPr>
          <w:p>
            <w:pPr>
              <w:spacing w:after="20" w:before="20" w:line="247" w:lineRule="auto"/>
            </w:pPr>
            <w:r>
              <w:rPr>
                <w:sz w:val="18"/>
              </w:rPr>
              <w:t>GFTA-3 Spanish Sonidos-en-palabras [15]</w:t>
            </w:r>
          </w:p>
        </w:tc>
        <w:tc>
          <w:tcPr>
            <w:tcW w:type="dxa" w:w="1481"/>
            <w:shd w:fill="FFFFFF"/>
            <w:tcMar>
              <w:top w:w="100" w:type="dxa"/>
              <w:bottom w:w="100" w:type="dxa"/>
              <w:left w:w="100" w:type="dxa"/>
              <w:right w:w="100" w:type="dxa"/>
            </w:tcMar>
          </w:tcPr>
          <w:p>
            <w:pPr>
              <w:spacing w:after="20" w:before="20" w:line="247" w:lineRule="auto"/>
            </w:pPr>
            <w:r>
              <w:rPr>
                <w:sz w:val="18"/>
              </w:rPr>
              <w:t>SS 85</w:t>
            </w:r>
          </w:p>
        </w:tc>
        <w:tc>
          <w:tcPr>
            <w:tcW w:type="dxa" w:w="1904"/>
            <w:shd w:fill="FFFFFF"/>
            <w:tcMar>
              <w:top w:w="100" w:type="dxa"/>
              <w:bottom w:w="100" w:type="dxa"/>
              <w:left w:w="100" w:type="dxa"/>
              <w:right w:w="100" w:type="dxa"/>
            </w:tcMar>
          </w:tcPr>
          <w:p>
            <w:pPr>
              <w:spacing w:after="20" w:before="20" w:line="247" w:lineRule="auto"/>
            </w:pPr>
            <w:r>
              <w:rPr>
                <w:sz w:val="18"/>
              </w:rPr>
              <w:t>91%</w:t>
            </w:r>
          </w:p>
        </w:tc>
        <w:tc>
          <w:tcPr>
            <w:tcW w:type="dxa" w:w="1904"/>
            <w:shd w:fill="FFFFFF"/>
            <w:tcMar>
              <w:top w:w="100" w:type="dxa"/>
              <w:bottom w:w="100" w:type="dxa"/>
              <w:left w:w="100" w:type="dxa"/>
              <w:right w:w="100" w:type="dxa"/>
            </w:tcMar>
          </w:tcPr>
          <w:p>
            <w:pPr>
              <w:spacing w:after="20" w:before="20" w:line="247" w:lineRule="auto"/>
            </w:pPr>
            <w:r>
              <w:rPr>
                <w:sz w:val="18"/>
              </w:rPr>
              <w:t>88%</w:t>
            </w:r>
          </w:p>
        </w:tc>
      </w:tr>
    </w:tbl>
    <w:p>
      <w:pPr>
        <w:spacing w:after="20"/>
      </w:pPr>
    </w:p>
    <w:p>
      <w:r/>
      <w:r>
        <w:rPr>
          <w:b/>
        </w:rPr>
        <w:t>BAPA | 3;0–10;11:</w:t>
      </w:r>
      <w:r>
        <w:t xml:space="preserve"> N=438 Central Texas children. Spanish speakers were 95% Mexican Spanish; 90% of bilingual/Spanish groups attended dual-language programs. Accuracy analyses added 86 students, 23 in bilingual/Spanish groups. Exact diagnostic denominators and confidence intervals need verification. [14]</w:t>
      </w:r>
    </w:p>
    <w:p>
      <w:r/>
      <w:r>
        <w:rPr>
          <w:b/>
        </w:rPr>
        <w:t>GFTA-3 Spanish | 2;0–21;11:</w:t>
      </w:r>
      <w:r>
        <w:t xml:space="preserve"> US/Puerto Rico Spanish speakers. The public summary does not establish the accuracy-analysis N, reference standard or confidence intervals and contains inconsistent demographic labels. Confirm them in the Spanish manual. [15, 27]</w:t>
      </w:r>
    </w:p>
    <w:p>
      <w:pPr>
        <w:pStyle w:val="Heading3"/>
      </w:pPr>
      <w:r>
        <w:t>Do not silently repair a publisher table</w:t>
      </w:r>
    </w:p>
    <w:p>
      <w:r>
        <w:t>BAPA’s public English-only rows show a non-monotonic pattern across stricter cutoffs. Those estimates are withheld here pending clarification. The Spanish and bilingual-English rows above are transcribed as published. [14]</w:t>
      </w:r>
    </w:p>
    <w:p>
      <w:r>
        <w:br w:type="page"/>
      </w:r>
    </w:p>
    <w:p>
      <w:r>
        <w:rPr>
          <w:sz w:val="18"/>
        </w:rPr>
        <w:t>NAMING RECOGNITION AND REPORT</w:t>
      </w:r>
    </w:p>
    <w:p>
      <w:pPr>
        <w:pStyle w:val="Heading1"/>
      </w:pPr>
      <w:r>
        <w:t>Vocabulary tools answer a narrower question</w:t>
      </w:r>
    </w:p>
    <w:p>
      <w:r>
        <w:t>Vocabulary can inform an assessment. It cannot stand in for the whole language system.</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991"/>
        <w:gridCol w:w="3390"/>
        <w:gridCol w:w="3988"/>
      </w:tblGrid>
      <w:tr>
        <w:trPr>
          <w:cantSplit/>
          <w:tblHeader/>
        </w:trPr>
        <w:tc>
          <w:tcPr>
            <w:tcW w:type="dxa" w:w="2991"/>
            <w:shd w:fill="315985"/>
            <w:tcMar>
              <w:top w:w="100" w:type="dxa"/>
              <w:bottom w:w="100" w:type="dxa"/>
              <w:left w:w="100" w:type="dxa"/>
              <w:right w:w="100" w:type="dxa"/>
            </w:tcMar>
          </w:tcPr>
          <w:p>
            <w:pPr>
              <w:spacing w:after="20" w:before="20" w:line="247" w:lineRule="auto"/>
            </w:pPr>
            <w:r>
              <w:rPr>
                <w:b/>
                <w:color w:val="FFFFFF"/>
                <w:sz w:val="18"/>
              </w:rPr>
              <w:t>Tool</w:t>
            </w:r>
          </w:p>
        </w:tc>
        <w:tc>
          <w:tcPr>
            <w:tcW w:type="dxa" w:w="3390"/>
            <w:shd w:fill="315985"/>
            <w:tcMar>
              <w:top w:w="100" w:type="dxa"/>
              <w:bottom w:w="100" w:type="dxa"/>
              <w:left w:w="100" w:type="dxa"/>
              <w:right w:w="100" w:type="dxa"/>
            </w:tcMar>
          </w:tcPr>
          <w:p>
            <w:pPr>
              <w:spacing w:after="20" w:before="20" w:line="247" w:lineRule="auto"/>
            </w:pPr>
            <w:r>
              <w:rPr>
                <w:b/>
                <w:color w:val="FFFFFF"/>
                <w:sz w:val="18"/>
              </w:rPr>
              <w:t>Population and sample</w:t>
            </w:r>
          </w:p>
        </w:tc>
        <w:tc>
          <w:tcPr>
            <w:tcW w:type="dxa" w:w="3988"/>
            <w:shd w:fill="315985"/>
            <w:tcMar>
              <w:top w:w="100" w:type="dxa"/>
              <w:bottom w:w="100" w:type="dxa"/>
              <w:left w:w="100" w:type="dxa"/>
              <w:right w:w="100" w:type="dxa"/>
            </w:tcMar>
          </w:tcPr>
          <w:p>
            <w:pPr>
              <w:spacing w:after="20" w:before="20" w:line="247" w:lineRule="auto"/>
            </w:pPr>
            <w:r>
              <w:rPr>
                <w:b/>
                <w:color w:val="FFFFFF"/>
                <w:sz w:val="18"/>
              </w:rPr>
              <w:t>Use and boundary</w:t>
            </w:r>
          </w:p>
        </w:tc>
      </w:tr>
      <w:tr>
        <w:trPr>
          <w:cantSplit/>
        </w:trPr>
        <w:tc>
          <w:tcPr>
            <w:tcW w:type="dxa" w:w="2991"/>
            <w:shd w:fill="FFFFFF"/>
            <w:tcMar>
              <w:top w:w="100" w:type="dxa"/>
              <w:bottom w:w="100" w:type="dxa"/>
              <w:left w:w="100" w:type="dxa"/>
              <w:right w:w="100" w:type="dxa"/>
            </w:tcMar>
          </w:tcPr>
          <w:p>
            <w:pPr>
              <w:spacing w:after="20" w:before="20" w:line="247" w:lineRule="auto"/>
            </w:pPr>
            <w:r>
              <w:rPr>
                <w:sz w:val="18"/>
              </w:rPr>
              <w:t>EOWPVT-4 Spanish-Bilingual</w:t>
              <w:br/>
              <w:t>2;0–70+ [16]</w:t>
            </w:r>
          </w:p>
        </w:tc>
        <w:tc>
          <w:tcPr>
            <w:tcW w:type="dxa" w:w="3390"/>
            <w:shd w:fill="FFFFFF"/>
            <w:tcMar>
              <w:top w:w="100" w:type="dxa"/>
              <w:bottom w:w="100" w:type="dxa"/>
              <w:left w:w="100" w:type="dxa"/>
              <w:right w:w="100" w:type="dxa"/>
            </w:tcMar>
          </w:tcPr>
          <w:p>
            <w:pPr>
              <w:spacing w:after="20" w:before="20" w:line="247" w:lineRule="auto"/>
            </w:pPr>
            <w:r>
              <w:rPr>
                <w:sz w:val="18"/>
              </w:rPr>
              <w:t>US Spanish-English bilingual population; publisher reports 1,200+ across child/adult ages.</w:t>
            </w:r>
          </w:p>
        </w:tc>
        <w:tc>
          <w:tcPr>
            <w:tcW w:type="dxa" w:w="3988"/>
            <w:shd w:fill="FFFFFF"/>
            <w:tcMar>
              <w:top w:w="100" w:type="dxa"/>
              <w:bottom w:w="100" w:type="dxa"/>
              <w:left w:w="100" w:type="dxa"/>
              <w:right w:w="100" w:type="dxa"/>
            </w:tcMar>
          </w:tcPr>
          <w:p>
            <w:pPr>
              <w:spacing w:after="20" w:before="20" w:line="247" w:lineRule="auto"/>
            </w:pPr>
            <w:r>
              <w:rPr>
                <w:sz w:val="18"/>
              </w:rPr>
              <w:t>Picture naming in either language under prescribed rules. Not comprehensive language or language proficiency.</w:t>
            </w:r>
          </w:p>
        </w:tc>
      </w:tr>
      <w:tr>
        <w:trPr>
          <w:cantSplit/>
        </w:trPr>
        <w:tc>
          <w:tcPr>
            <w:tcW w:type="dxa" w:w="2991"/>
            <w:shd w:fill="EFF4F8"/>
            <w:tcMar>
              <w:top w:w="100" w:type="dxa"/>
              <w:bottom w:w="100" w:type="dxa"/>
              <w:left w:w="100" w:type="dxa"/>
              <w:right w:w="100" w:type="dxa"/>
            </w:tcMar>
          </w:tcPr>
          <w:p>
            <w:pPr>
              <w:spacing w:after="20" w:before="20" w:line="247" w:lineRule="auto"/>
            </w:pPr>
            <w:r>
              <w:rPr>
                <w:sz w:val="18"/>
              </w:rPr>
              <w:t>ROWPVT-4 Spanish-Bilingual</w:t>
              <w:br/>
              <w:t>2;0–70+ [17]</w:t>
            </w:r>
          </w:p>
        </w:tc>
        <w:tc>
          <w:tcPr>
            <w:tcW w:type="dxa" w:w="3390"/>
            <w:shd w:fill="EFF4F8"/>
            <w:tcMar>
              <w:top w:w="100" w:type="dxa"/>
              <w:bottom w:w="100" w:type="dxa"/>
              <w:left w:w="100" w:type="dxa"/>
              <w:right w:w="100" w:type="dxa"/>
            </w:tcMar>
          </w:tcPr>
          <w:p>
            <w:pPr>
              <w:spacing w:after="20" w:before="20" w:line="247" w:lineRule="auto"/>
            </w:pPr>
            <w:r>
              <w:rPr>
                <w:sz w:val="18"/>
              </w:rPr>
              <w:t>Co-normed bilingual edition; 1,200+ population. Child/dialect cells not verified here.</w:t>
            </w:r>
          </w:p>
        </w:tc>
        <w:tc>
          <w:tcPr>
            <w:tcW w:type="dxa" w:w="3988"/>
            <w:shd w:fill="EFF4F8"/>
            <w:tcMar>
              <w:top w:w="100" w:type="dxa"/>
              <w:bottom w:w="100" w:type="dxa"/>
              <w:left w:w="100" w:type="dxa"/>
              <w:right w:w="100" w:type="dxa"/>
            </w:tcMar>
          </w:tcPr>
          <w:p>
            <w:pPr>
              <w:spacing w:after="20" w:before="20" w:line="247" w:lineRule="auto"/>
            </w:pPr>
            <w:r>
              <w:rPr>
                <w:sz w:val="18"/>
              </w:rPr>
              <w:t>Receptive picture vocabulary. Do not substitute English fifth-edition materials or norms.</w:t>
            </w:r>
          </w:p>
        </w:tc>
      </w:tr>
      <w:tr>
        <w:trPr>
          <w:cantSplit/>
        </w:trPr>
        <w:tc>
          <w:tcPr>
            <w:tcW w:type="dxa" w:w="2991"/>
            <w:shd w:fill="FFFFFF"/>
            <w:tcMar>
              <w:top w:w="100" w:type="dxa"/>
              <w:bottom w:w="100" w:type="dxa"/>
              <w:left w:w="100" w:type="dxa"/>
              <w:right w:w="100" w:type="dxa"/>
            </w:tcMar>
          </w:tcPr>
          <w:p>
            <w:pPr>
              <w:spacing w:after="20" w:before="20" w:line="247" w:lineRule="auto"/>
            </w:pPr>
            <w:r>
              <w:rPr>
                <w:sz w:val="18"/>
              </w:rPr>
              <w:t>English-Spanish Vocabulary Inventory [18]</w:t>
            </w:r>
          </w:p>
        </w:tc>
        <w:tc>
          <w:tcPr>
            <w:tcW w:type="dxa" w:w="3390"/>
            <w:shd w:fill="FFFFFF"/>
            <w:tcMar>
              <w:top w:w="100" w:type="dxa"/>
              <w:bottom w:w="100" w:type="dxa"/>
              <w:left w:w="100" w:type="dxa"/>
              <w:right w:w="100" w:type="dxa"/>
            </w:tcMar>
          </w:tcPr>
          <w:p>
            <w:pPr>
              <w:spacing w:after="20" w:before="20" w:line="247" w:lineRule="auto"/>
            </w:pPr>
            <w:r>
              <w:rPr>
                <w:sz w:val="18"/>
              </w:rPr>
              <w:t>Toddler research samples N=52, 13 and 22; mostly Mexican-heritage families in western US communities.</w:t>
            </w:r>
          </w:p>
        </w:tc>
        <w:tc>
          <w:tcPr>
            <w:tcW w:type="dxa" w:w="3988"/>
            <w:shd w:fill="FFFFFF"/>
            <w:tcMar>
              <w:top w:w="100" w:type="dxa"/>
              <w:bottom w:w="100" w:type="dxa"/>
              <w:left w:w="100" w:type="dxa"/>
              <w:right w:w="100" w:type="dxa"/>
            </w:tcMar>
          </w:tcPr>
          <w:p>
            <w:pPr>
              <w:spacing w:after="20" w:before="20" w:line="247" w:lineRule="auto"/>
            </w:pPr>
            <w:r>
              <w:rPr>
                <w:sz w:val="18"/>
              </w:rPr>
              <w:t>Caregiver description across languages. Not normed; no validated DLD cutoff supplied.</w:t>
            </w:r>
          </w:p>
        </w:tc>
      </w:tr>
    </w:tbl>
    <w:p>
      <w:pPr>
        <w:spacing w:after="20"/>
      </w:pPr>
    </w:p>
    <w:p>
      <w:r/>
      <w:r>
        <w:rPr>
          <w:b/>
        </w:rPr>
        <w:t>Accuracy status:</w:t>
      </w:r>
      <w:r>
        <w:t xml:space="preserve"> No DLD sensitivity/specificity pair was verified for the two one-word publisher pages. ESVI authors identify further norming and diagnostic work as needed. Reliability, correlation with another measure and a large norm sample are different evidence from diagnostic classification. [16–18]</w:t>
      </w:r>
    </w:p>
    <w:p>
      <w:pPr>
        <w:pStyle w:val="Heading3"/>
      </w:pPr>
      <w:r>
        <w:t>Make the population comparison specific</w:t>
      </w:r>
    </w:p>
    <w:p>
      <w:r>
        <w:t>Ask for separate counts for age band, language use, education, dialect/region and clinical status. “Hispanic,” “Spanish-speaking” and “bilingual” are not interchangeable sampling variables.</w:t>
      </w:r>
    </w:p>
    <w:p>
      <w:r/>
      <w:r>
        <w:rPr>
          <w:b/>
        </w:rPr>
        <w:t>Illustrative interpretation:</w:t>
      </w:r>
      <w:r>
        <w:t xml:space="preserve"> A child knows “bridge” in English and “puente” in Spanish. A prescribed conceptual procedure may credit the concept once. That does not mean the child can explain a bridge, understand a story about it, or use either label across contexts. Assess the actual referral demand.</w:t>
      </w:r>
    </w:p>
    <w:p>
      <w:r>
        <w:br w:type="page"/>
      </w:r>
    </w:p>
    <w:p>
      <w:r>
        <w:rPr>
          <w:sz w:val="18"/>
        </w:rPr>
        <w:t>BEYOND NORM SCORES</w:t>
      </w:r>
    </w:p>
    <w:p>
      <w:pPr>
        <w:pStyle w:val="Heading1"/>
      </w:pPr>
      <w:r>
        <w:t>Structured samples and learning measures</w:t>
      </w:r>
    </w:p>
    <w:p>
      <w:r>
        <w:t>Standardized procedures can be useful even when they do not produce national norm-referenced scores.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672"/>
        <w:gridCol w:w="4275"/>
        <w:gridCol w:w="3420"/>
      </w:tblGrid>
      <w:tr>
        <w:trPr>
          <w:cantSplit/>
          <w:tblHeader/>
        </w:trPr>
        <w:tc>
          <w:tcPr>
            <w:tcW w:type="dxa" w:w="2672"/>
            <w:shd w:fill="315985"/>
            <w:tcMar>
              <w:top w:w="100" w:type="dxa"/>
              <w:bottom w:w="100" w:type="dxa"/>
              <w:left w:w="100" w:type="dxa"/>
              <w:right w:w="100" w:type="dxa"/>
            </w:tcMar>
          </w:tcPr>
          <w:p>
            <w:pPr>
              <w:spacing w:after="20" w:before="20" w:line="247" w:lineRule="auto"/>
            </w:pPr>
            <w:r>
              <w:rPr>
                <w:b/>
                <w:color w:val="FFFFFF"/>
                <w:sz w:val="18"/>
              </w:rPr>
              <w:t>Method</w:t>
            </w:r>
          </w:p>
        </w:tc>
        <w:tc>
          <w:tcPr>
            <w:tcW w:type="dxa" w:w="4275"/>
            <w:shd w:fill="315985"/>
            <w:tcMar>
              <w:top w:w="100" w:type="dxa"/>
              <w:bottom w:w="100" w:type="dxa"/>
              <w:left w:w="100" w:type="dxa"/>
              <w:right w:w="100" w:type="dxa"/>
            </w:tcMar>
          </w:tcPr>
          <w:p>
            <w:pPr>
              <w:spacing w:after="20" w:before="20" w:line="247" w:lineRule="auto"/>
            </w:pPr>
            <w:r>
              <w:rPr>
                <w:b/>
                <w:color w:val="FFFFFF"/>
                <w:sz w:val="18"/>
              </w:rPr>
              <w:t>Sample and best use</w:t>
            </w:r>
          </w:p>
        </w:tc>
        <w:tc>
          <w:tcPr>
            <w:tcW w:type="dxa" w:w="3420"/>
            <w:shd w:fill="315985"/>
            <w:tcMar>
              <w:top w:w="100" w:type="dxa"/>
              <w:bottom w:w="100" w:type="dxa"/>
              <w:left w:w="100" w:type="dxa"/>
              <w:right w:w="100" w:type="dxa"/>
            </w:tcMar>
          </w:tcPr>
          <w:p>
            <w:pPr>
              <w:spacing w:after="20" w:before="20" w:line="247" w:lineRule="auto"/>
            </w:pPr>
            <w:r>
              <w:rPr>
                <w:b/>
                <w:color w:val="FFFFFF"/>
                <w:sz w:val="18"/>
              </w:rPr>
              <w:t>Do not infer</w:t>
            </w:r>
          </w:p>
        </w:tc>
      </w:tr>
      <w:tr>
        <w:trPr>
          <w:cantSplit/>
        </w:trPr>
        <w:tc>
          <w:tcPr>
            <w:tcW w:type="dxa" w:w="2672"/>
            <w:shd w:fill="FFFFFF"/>
            <w:tcMar>
              <w:top w:w="100" w:type="dxa"/>
              <w:bottom w:w="100" w:type="dxa"/>
              <w:left w:w="100" w:type="dxa"/>
              <w:right w:w="100" w:type="dxa"/>
            </w:tcMar>
          </w:tcPr>
          <w:p>
            <w:pPr>
              <w:spacing w:after="20" w:before="20" w:line="247" w:lineRule="auto"/>
            </w:pPr>
            <w:r>
              <w:rPr>
                <w:sz w:val="18"/>
              </w:rPr>
              <w:t>SALT bilingual retell [19]</w:t>
            </w:r>
          </w:p>
        </w:tc>
        <w:tc>
          <w:tcPr>
            <w:tcW w:type="dxa" w:w="4275"/>
            <w:shd w:fill="FFFFFF"/>
            <w:tcMar>
              <w:top w:w="100" w:type="dxa"/>
              <w:bottom w:w="100" w:type="dxa"/>
              <w:left w:w="100" w:type="dxa"/>
              <w:right w:w="100" w:type="dxa"/>
            </w:tcMar>
          </w:tcPr>
          <w:p>
            <w:pPr>
              <w:spacing w:after="20" w:before="20" w:line="247" w:lineRule="auto"/>
            </w:pPr>
            <w:r>
              <w:rPr>
                <w:sz w:val="18"/>
              </w:rPr>
              <w:t>TX/CA K–3; overall 5;0–9;9. Reference counts 2,070 / 1,667 / 930 by story group. Match elicitation and transcription.</w:t>
            </w:r>
          </w:p>
        </w:tc>
        <w:tc>
          <w:tcPr>
            <w:tcW w:type="dxa" w:w="3420"/>
            <w:shd w:fill="FFFFFF"/>
            <w:tcMar>
              <w:top w:w="100" w:type="dxa"/>
              <w:bottom w:w="100" w:type="dxa"/>
              <w:left w:w="100" w:type="dxa"/>
              <w:right w:w="100" w:type="dxa"/>
            </w:tcMar>
          </w:tcPr>
          <w:p>
            <w:pPr>
              <w:spacing w:after="20" w:before="20" w:line="247" w:lineRule="auto"/>
            </w:pPr>
            <w:r>
              <w:rPr>
                <w:sz w:val="18"/>
              </w:rPr>
              <w:t>Counts are story samples, not unique children. New stories do not inherit norms.</w:t>
            </w:r>
          </w:p>
        </w:tc>
      </w:tr>
      <w:tr>
        <w:trPr>
          <w:cantSplit/>
        </w:trPr>
        <w:tc>
          <w:tcPr>
            <w:tcW w:type="dxa" w:w="2672"/>
            <w:shd w:fill="EFF4F8"/>
            <w:tcMar>
              <w:top w:w="100" w:type="dxa"/>
              <w:bottom w:w="100" w:type="dxa"/>
              <w:left w:w="100" w:type="dxa"/>
              <w:right w:w="100" w:type="dxa"/>
            </w:tcMar>
          </w:tcPr>
          <w:p>
            <w:pPr>
              <w:spacing w:after="20" w:before="20" w:line="247" w:lineRule="auto"/>
            </w:pPr>
            <w:r>
              <w:rPr>
                <w:sz w:val="18"/>
              </w:rPr>
              <w:t>MAIN Spanish/English [21]</w:t>
            </w:r>
          </w:p>
        </w:tc>
        <w:tc>
          <w:tcPr>
            <w:tcW w:type="dxa" w:w="4275"/>
            <w:shd w:fill="EFF4F8"/>
            <w:tcMar>
              <w:top w:w="100" w:type="dxa"/>
              <w:bottom w:w="100" w:type="dxa"/>
              <w:left w:w="100" w:type="dxa"/>
              <w:right w:w="100" w:type="dxa"/>
            </w:tcMar>
          </w:tcPr>
          <w:p>
            <w:pPr>
              <w:spacing w:after="20" w:before="20" w:line="247" w:lineRule="auto"/>
            </w:pPr>
            <w:r>
              <w:rPr>
                <w:sz w:val="18"/>
              </w:rPr>
              <w:t>Originally about 3–10. Structured narrative production/comprehension. Linked Spanish version is European Spanish.</w:t>
            </w:r>
          </w:p>
        </w:tc>
        <w:tc>
          <w:tcPr>
            <w:tcW w:type="dxa" w:w="3420"/>
            <w:shd w:fill="EFF4F8"/>
            <w:tcMar>
              <w:top w:w="100" w:type="dxa"/>
              <w:bottom w:w="100" w:type="dxa"/>
              <w:left w:w="100" w:type="dxa"/>
              <w:right w:w="100" w:type="dxa"/>
            </w:tcMar>
          </w:tcPr>
          <w:p>
            <w:pPr>
              <w:spacing w:after="20" w:before="20" w:line="247" w:lineRule="auto"/>
            </w:pPr>
            <w:r>
              <w:rPr>
                <w:sz w:val="18"/>
              </w:rPr>
              <w:t>Development pilots are not US bilingual norms. Story/mode choices matter.</w:t>
            </w:r>
          </w:p>
        </w:tc>
      </w:tr>
      <w:tr>
        <w:trPr>
          <w:cantSplit/>
        </w:trPr>
        <w:tc>
          <w:tcPr>
            <w:tcW w:type="dxa" w:w="2672"/>
            <w:shd w:fill="FFFFFF"/>
            <w:tcMar>
              <w:top w:w="100" w:type="dxa"/>
              <w:bottom w:w="100" w:type="dxa"/>
              <w:left w:w="100" w:type="dxa"/>
              <w:right w:w="100" w:type="dxa"/>
            </w:tcMar>
          </w:tcPr>
          <w:p>
            <w:pPr>
              <w:spacing w:after="20" w:before="20" w:line="247" w:lineRule="auto"/>
            </w:pPr>
            <w:r>
              <w:rPr>
                <w:sz w:val="18"/>
              </w:rPr>
              <w:t>SLAM [20]</w:t>
            </w:r>
          </w:p>
        </w:tc>
        <w:tc>
          <w:tcPr>
            <w:tcW w:type="dxa" w:w="4275"/>
            <w:shd w:fill="FFFFFF"/>
            <w:tcMar>
              <w:top w:w="100" w:type="dxa"/>
              <w:bottom w:w="100" w:type="dxa"/>
              <w:left w:w="100" w:type="dxa"/>
              <w:right w:w="100" w:type="dxa"/>
            </w:tcMar>
          </w:tcPr>
          <w:p>
            <w:pPr>
              <w:spacing w:after="20" w:before="20" w:line="247" w:lineRule="auto"/>
            </w:pPr>
            <w:r>
              <w:rPr>
                <w:sz w:val="18"/>
              </w:rPr>
              <w:t>Select a developmentally and linguistically suitable set for narrative, inference and explanation.</w:t>
            </w:r>
          </w:p>
        </w:tc>
        <w:tc>
          <w:tcPr>
            <w:tcW w:type="dxa" w:w="3420"/>
            <w:shd w:fill="FFFFFF"/>
            <w:tcMar>
              <w:top w:w="100" w:type="dxa"/>
              <w:bottom w:w="100" w:type="dxa"/>
              <w:left w:w="100" w:type="dxa"/>
              <w:right w:w="100" w:type="dxa"/>
            </w:tcMar>
          </w:tcPr>
          <w:p>
            <w:pPr>
              <w:spacing w:after="20" w:before="20" w:line="247" w:lineRule="auto"/>
            </w:pPr>
            <w:r>
              <w:rPr>
                <w:sz w:val="18"/>
              </w:rPr>
              <w:t>Informal rubric totals are not standardized diagnostic scores.</w:t>
            </w:r>
          </w:p>
        </w:tc>
      </w:tr>
      <w:tr>
        <w:trPr>
          <w:cantSplit/>
        </w:trPr>
        <w:tc>
          <w:tcPr>
            <w:tcW w:type="dxa" w:w="2672"/>
            <w:shd w:fill="EFF4F8"/>
            <w:tcMar>
              <w:top w:w="100" w:type="dxa"/>
              <w:bottom w:w="100" w:type="dxa"/>
              <w:left w:w="100" w:type="dxa"/>
              <w:right w:w="100" w:type="dxa"/>
            </w:tcMar>
          </w:tcPr>
          <w:p>
            <w:pPr>
              <w:spacing w:after="20" w:before="20" w:line="247" w:lineRule="auto"/>
            </w:pPr>
            <w:r>
              <w:rPr>
                <w:sz w:val="18"/>
              </w:rPr>
              <w:t>Word-learning DA [22, 24]</w:t>
            </w:r>
          </w:p>
        </w:tc>
        <w:tc>
          <w:tcPr>
            <w:tcW w:type="dxa" w:w="4275"/>
            <w:shd w:fill="EFF4F8"/>
            <w:tcMar>
              <w:top w:w="100" w:type="dxa"/>
              <w:bottom w:w="100" w:type="dxa"/>
              <w:left w:w="100" w:type="dxa"/>
              <w:right w:w="100" w:type="dxa"/>
            </w:tcMar>
          </w:tcPr>
          <w:p>
            <w:pPr>
              <w:spacing w:after="20" w:before="20" w:line="247" w:lineRule="auto"/>
            </w:pPr>
            <w:r>
              <w:rPr>
                <w:sz w:val="18"/>
              </w:rPr>
              <w:t>Named study: N=28, ages 4–5; predominantly Spanish-speaking bilinguals. Examine learning under support.</w:t>
            </w:r>
          </w:p>
        </w:tc>
        <w:tc>
          <w:tcPr>
            <w:tcW w:type="dxa" w:w="3420"/>
            <w:shd w:fill="EFF4F8"/>
            <w:tcMar>
              <w:top w:w="100" w:type="dxa"/>
              <w:bottom w:w="100" w:type="dxa"/>
              <w:left w:w="100" w:type="dxa"/>
              <w:right w:w="100" w:type="dxa"/>
            </w:tcMar>
          </w:tcPr>
          <w:p>
            <w:pPr>
              <w:spacing w:after="20" w:before="20" w:line="247" w:lineRule="auto"/>
            </w:pPr>
            <w:r>
              <w:rPr>
                <w:sz w:val="18"/>
              </w:rPr>
              <w:t>A new task does not inherit study accuracy.</w:t>
            </w:r>
          </w:p>
        </w:tc>
      </w:tr>
      <w:tr>
        <w:trPr>
          <w:cantSplit/>
        </w:trPr>
        <w:tc>
          <w:tcPr>
            <w:tcW w:type="dxa" w:w="2672"/>
            <w:shd w:fill="FFFFFF"/>
            <w:tcMar>
              <w:top w:w="100" w:type="dxa"/>
              <w:bottom w:w="100" w:type="dxa"/>
              <w:left w:w="100" w:type="dxa"/>
              <w:right w:w="100" w:type="dxa"/>
            </w:tcMar>
          </w:tcPr>
          <w:p>
            <w:pPr>
              <w:spacing w:after="20" w:before="20" w:line="247" w:lineRule="auto"/>
            </w:pPr>
            <w:r>
              <w:rPr>
                <w:sz w:val="18"/>
              </w:rPr>
              <w:t>Narrative DA [23, 24]</w:t>
            </w:r>
          </w:p>
        </w:tc>
        <w:tc>
          <w:tcPr>
            <w:tcW w:type="dxa" w:w="4275"/>
            <w:shd w:fill="FFFFFF"/>
            <w:tcMar>
              <w:top w:w="100" w:type="dxa"/>
              <w:bottom w:w="100" w:type="dxa"/>
              <w:left w:w="100" w:type="dxa"/>
              <w:right w:w="100" w:type="dxa"/>
            </w:tcMar>
          </w:tcPr>
          <w:p>
            <w:pPr>
              <w:spacing w:after="20" w:before="20" w:line="247" w:lineRule="auto"/>
            </w:pPr>
            <w:r>
              <w:rPr>
                <w:sz w:val="18"/>
              </w:rPr>
              <w:t>Named English study: N=54 Spanish-English children; learning and modifiability measures.</w:t>
            </w:r>
          </w:p>
        </w:tc>
        <w:tc>
          <w:tcPr>
            <w:tcW w:type="dxa" w:w="3420"/>
            <w:shd w:fill="FFFFFF"/>
            <w:tcMar>
              <w:top w:w="100" w:type="dxa"/>
              <w:bottom w:w="100" w:type="dxa"/>
              <w:left w:w="100" w:type="dxa"/>
              <w:right w:w="100" w:type="dxa"/>
            </w:tcMar>
          </w:tcPr>
          <w:p>
            <w:pPr>
              <w:spacing w:after="20" w:before="20" w:line="247" w:lineRule="auto"/>
            </w:pPr>
            <w:r>
              <w:rPr>
                <w:sz w:val="18"/>
              </w:rPr>
              <w:t>There is no single diagnostic accuracy pair for all DA.</w:t>
            </w:r>
          </w:p>
        </w:tc>
      </w:tr>
      <w:tr>
        <w:trPr>
          <w:cantSplit/>
        </w:trPr>
        <w:tc>
          <w:tcPr>
            <w:tcW w:type="dxa" w:w="2672"/>
            <w:shd w:fill="EFF4F8"/>
            <w:tcMar>
              <w:top w:w="100" w:type="dxa"/>
              <w:bottom w:w="100" w:type="dxa"/>
              <w:left w:w="100" w:type="dxa"/>
              <w:right w:w="100" w:type="dxa"/>
            </w:tcMar>
          </w:tcPr>
          <w:p>
            <w:pPr>
              <w:spacing w:after="20" w:before="20" w:line="247" w:lineRule="auto"/>
            </w:pPr>
            <w:r>
              <w:rPr>
                <w:sz w:val="18"/>
              </w:rPr>
              <w:t>Original criterion probe [1]</w:t>
            </w:r>
          </w:p>
        </w:tc>
        <w:tc>
          <w:tcPr>
            <w:tcW w:type="dxa" w:w="4275"/>
            <w:shd w:fill="EFF4F8"/>
            <w:tcMar>
              <w:top w:w="100" w:type="dxa"/>
              <w:bottom w:w="100" w:type="dxa"/>
              <w:left w:w="100" w:type="dxa"/>
              <w:right w:w="100" w:type="dxa"/>
            </w:tcMar>
          </w:tcPr>
          <w:p>
            <w:pPr>
              <w:spacing w:after="20" w:before="20" w:line="247" w:lineRule="auto"/>
            </w:pPr>
            <w:r>
              <w:rPr>
                <w:sz w:val="18"/>
              </w:rPr>
              <w:t>Define a skill, opportunity, prompt, response and score; monitor change.</w:t>
            </w:r>
          </w:p>
        </w:tc>
        <w:tc>
          <w:tcPr>
            <w:tcW w:type="dxa" w:w="3420"/>
            <w:shd w:fill="EFF4F8"/>
            <w:tcMar>
              <w:top w:w="100" w:type="dxa"/>
              <w:bottom w:w="100" w:type="dxa"/>
              <w:left w:w="100" w:type="dxa"/>
              <w:right w:w="100" w:type="dxa"/>
            </w:tcMar>
          </w:tcPr>
          <w:p>
            <w:pPr>
              <w:spacing w:after="20" w:before="20" w:line="247" w:lineRule="auto"/>
            </w:pPr>
            <w:r>
              <w:rPr>
                <w:sz w:val="18"/>
              </w:rPr>
              <w:t>An 80% goal criterion is not a diagnosis or an age norm.</w:t>
            </w:r>
          </w:p>
        </w:tc>
      </w:tr>
    </w:tbl>
    <w:p>
      <w:pPr>
        <w:spacing w:after="20"/>
      </w:pPr>
    </w:p>
    <w:p>
      <w:pPr>
        <w:pStyle w:val="Heading3"/>
      </w:pPr>
      <w:r>
        <w:t>Name the evidence correctly</w:t>
      </w:r>
    </w:p>
    <w:p>
      <w:r>
        <w:t>Norm referenced compares performance with a defined reference population. Criterion referenced asks whether a specified skill or criterion is met. Dynamic assessment studies learning under mediation. Informal describes the procedure’s status, not whether it is automatically better or worse.</w:t>
      </w:r>
    </w:p>
    <w:p>
      <w:r>
        <w:br w:type="page"/>
      </w:r>
    </w:p>
    <w:p>
      <w:r>
        <w:rPr>
          <w:sz w:val="18"/>
        </w:rPr>
        <w:t>A WORKED INTERPRETATION</w:t>
      </w:r>
    </w:p>
    <w:p>
      <w:pPr>
        <w:pStyle w:val="Heading1"/>
      </w:pPr>
      <w:r>
        <w:t>What specificity changes in practice</w:t>
      </w:r>
    </w:p>
    <w:p>
      <w:r>
        <w:t>This illustration explains a metric. It does not predict the result for the next child.</w:t>
      </w:r>
    </w:p>
    <w:p>
      <w:r>
        <w:drawing>
          <wp:inline xmlns:a="http://schemas.openxmlformats.org/drawingml/2006/main" xmlns:pic="http://schemas.openxmlformats.org/drawingml/2006/picture">
            <wp:extent cx="6217920" cy="2373172"/>
            <wp:docPr id="2" name="Picture 2" descr="Clinical workflow. "/>
            <wp:cNvGraphicFramePr>
              <a:graphicFrameLocks noChangeAspect="1"/>
            </wp:cNvGraphicFramePr>
            <a:graphic>
              <a:graphicData uri="http://schemas.openxmlformats.org/drawingml/2006/picture">
                <pic:pic>
                  <pic:nvPicPr>
                    <pic:cNvPr id="0" name="09_visual_2.png"/>
                    <pic:cNvPicPr/>
                  </pic:nvPicPr>
                  <pic:blipFill>
                    <a:blip r:embed="rId12"/>
                    <a:stretch>
                      <a:fillRect/>
                    </a:stretch>
                  </pic:blipFill>
                  <pic:spPr>
                    <a:xfrm>
                      <a:off x="0" y="0"/>
                      <a:ext cx="6217920" cy="2373172"/>
                    </a:xfrm>
                    <a:prstGeom prst="rect"/>
                  </pic:spPr>
                </pic:pic>
              </a:graphicData>
            </a:graphic>
          </wp:inline>
        </w:drawing>
      </w:r>
    </w:p>
    <w:p>
      <w:pPr>
        <w:pStyle w:val="Heading3"/>
      </w:pPr>
      <w:r>
        <w:t>The denominator matters</w:t>
      </w:r>
    </w:p>
    <w:p>
      <w:r>
        <w:t>This is 35 out of 100 children who do not have the disorder. It is not a claim that 35% of all children tested will be misidentified. Predictive value also depends on how common the disorder is in the group being assessed.</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999"/>
        <w:gridCol w:w="6369"/>
      </w:tblGrid>
      <w:tr>
        <w:trPr>
          <w:cantSplit/>
          <w:tblHeader/>
        </w:trPr>
        <w:tc>
          <w:tcPr>
            <w:tcW w:type="dxa" w:w="3999"/>
            <w:shd w:fill="315985"/>
            <w:tcMar>
              <w:top w:w="100" w:type="dxa"/>
              <w:bottom w:w="100" w:type="dxa"/>
              <w:left w:w="100" w:type="dxa"/>
              <w:right w:w="100" w:type="dxa"/>
            </w:tcMar>
          </w:tcPr>
          <w:p>
            <w:pPr>
              <w:spacing w:after="20" w:before="20" w:line="247" w:lineRule="auto"/>
            </w:pPr>
            <w:r>
              <w:rPr>
                <w:b/>
                <w:color w:val="FFFFFF"/>
                <w:sz w:val="18"/>
              </w:rPr>
              <w:t>Finding</w:t>
            </w:r>
          </w:p>
        </w:tc>
        <w:tc>
          <w:tcPr>
            <w:tcW w:type="dxa" w:w="6369"/>
            <w:shd w:fill="315985"/>
            <w:tcMar>
              <w:top w:w="100" w:type="dxa"/>
              <w:bottom w:w="100" w:type="dxa"/>
              <w:left w:w="100" w:type="dxa"/>
              <w:right w:w="100" w:type="dxa"/>
            </w:tcMar>
          </w:tcPr>
          <w:p>
            <w:pPr>
              <w:spacing w:after="20" w:before="20" w:line="247" w:lineRule="auto"/>
            </w:pPr>
            <w:r>
              <w:rPr>
                <w:b/>
                <w:color w:val="FFFFFF"/>
                <w:sz w:val="18"/>
              </w:rPr>
              <w:t>Reasonable next action</w:t>
            </w:r>
          </w:p>
        </w:tc>
      </w:tr>
      <w:tr>
        <w:trPr>
          <w:cantSplit/>
        </w:trPr>
        <w:tc>
          <w:tcPr>
            <w:tcW w:type="dxa" w:w="3999"/>
            <w:shd w:fill="FFFFFF"/>
            <w:tcMar>
              <w:top w:w="100" w:type="dxa"/>
              <w:bottom w:w="100" w:type="dxa"/>
              <w:left w:w="100" w:type="dxa"/>
              <w:right w:w="100" w:type="dxa"/>
            </w:tcMar>
          </w:tcPr>
          <w:p>
            <w:pPr>
              <w:spacing w:after="20" w:before="20" w:line="247" w:lineRule="auto"/>
            </w:pPr>
            <w:r>
              <w:rPr>
                <w:sz w:val="18"/>
              </w:rPr>
              <w:t>Low Spanish score after years of English-only schooling</w:t>
            </w:r>
          </w:p>
        </w:tc>
        <w:tc>
          <w:tcPr>
            <w:tcW w:type="dxa" w:w="6369"/>
            <w:shd w:fill="FFFFFF"/>
            <w:tcMar>
              <w:top w:w="100" w:type="dxa"/>
              <w:bottom w:w="100" w:type="dxa"/>
              <w:left w:w="100" w:type="dxa"/>
              <w:right w:w="100" w:type="dxa"/>
            </w:tcMar>
          </w:tcPr>
          <w:p>
            <w:pPr>
              <w:spacing w:after="20" w:before="20" w:line="247" w:lineRule="auto"/>
            </w:pPr>
            <w:r>
              <w:rPr>
                <w:sz w:val="18"/>
              </w:rPr>
              <w:t>Review Spanish exposure and opportunities; obtain relevant samples and family information.</w:t>
            </w:r>
          </w:p>
        </w:tc>
      </w:tr>
      <w:tr>
        <w:trPr>
          <w:cantSplit/>
        </w:trPr>
        <w:tc>
          <w:tcPr>
            <w:tcW w:type="dxa" w:w="3999"/>
            <w:shd w:fill="EFF4F8"/>
            <w:tcMar>
              <w:top w:w="100" w:type="dxa"/>
              <w:bottom w:w="100" w:type="dxa"/>
              <w:left w:w="100" w:type="dxa"/>
              <w:right w:w="100" w:type="dxa"/>
            </w:tcMar>
          </w:tcPr>
          <w:p>
            <w:pPr>
              <w:spacing w:after="20" w:before="20" w:line="247" w:lineRule="auto"/>
            </w:pPr>
            <w:r>
              <w:rPr>
                <w:sz w:val="18"/>
              </w:rPr>
              <w:t>Higher English score and low Spanish score</w:t>
            </w:r>
          </w:p>
        </w:tc>
        <w:tc>
          <w:tcPr>
            <w:tcW w:type="dxa" w:w="6369"/>
            <w:shd w:fill="EFF4F8"/>
            <w:tcMar>
              <w:top w:w="100" w:type="dxa"/>
              <w:bottom w:w="100" w:type="dxa"/>
              <w:left w:w="100" w:type="dxa"/>
              <w:right w:w="100" w:type="dxa"/>
            </w:tcMar>
          </w:tcPr>
          <w:p>
            <w:pPr>
              <w:spacing w:after="20" w:before="20" w:line="247" w:lineRule="auto"/>
            </w:pPr>
            <w:r>
              <w:rPr>
                <w:sz w:val="18"/>
              </w:rPr>
              <w:t>Explain the uneven profile; evaluate the referred functional concern across contexts.</w:t>
            </w:r>
          </w:p>
        </w:tc>
      </w:tr>
      <w:tr>
        <w:trPr>
          <w:cantSplit/>
        </w:trPr>
        <w:tc>
          <w:tcPr>
            <w:tcW w:type="dxa" w:w="3999"/>
            <w:shd w:fill="FFFFFF"/>
            <w:tcMar>
              <w:top w:w="100" w:type="dxa"/>
              <w:bottom w:w="100" w:type="dxa"/>
              <w:left w:w="100" w:type="dxa"/>
              <w:right w:w="100" w:type="dxa"/>
            </w:tcMar>
          </w:tcPr>
          <w:p>
            <w:pPr>
              <w:spacing w:after="20" w:before="20" w:line="247" w:lineRule="auto"/>
            </w:pPr>
            <w:r>
              <w:rPr>
                <w:sz w:val="18"/>
              </w:rPr>
              <w:t>Difficulty across languages plus concerns in familiar contexts</w:t>
            </w:r>
          </w:p>
        </w:tc>
        <w:tc>
          <w:tcPr>
            <w:tcW w:type="dxa" w:w="6369"/>
            <w:shd w:fill="FFFFFF"/>
            <w:tcMar>
              <w:top w:w="100" w:type="dxa"/>
              <w:bottom w:w="100" w:type="dxa"/>
              <w:left w:w="100" w:type="dxa"/>
              <w:right w:w="100" w:type="dxa"/>
            </w:tcMar>
          </w:tcPr>
          <w:p>
            <w:pPr>
              <w:spacing w:after="20" w:before="20" w:line="247" w:lineRule="auto"/>
            </w:pPr>
            <w:r>
              <w:rPr>
                <w:sz w:val="18"/>
              </w:rPr>
              <w:t>Integrate language-specific evidence, learning response and functional impact; examine other explanations.</w:t>
            </w:r>
          </w:p>
        </w:tc>
      </w:tr>
    </w:tbl>
    <w:p>
      <w:pPr>
        <w:spacing w:after="20"/>
      </w:pPr>
    </w:p>
    <w:p>
      <w:r/>
      <w:r>
        <w:rPr>
          <w:b/>
        </w:rPr>
        <w:t>Report language:</w:t>
      </w:r>
      <w:r>
        <w:t xml:space="preserve"> “The score is one part of the evaluation. The study most relevant to this child’s schooling profile showed reduced specificity. I therefore interpreted it with family report, samples in the child’s languages, and response to support.” Adapt this wording to the evidence actually collected.</w:t>
      </w:r>
    </w:p>
    <w:p>
      <w:r>
        <w:t>Do not use a low score alone to diagnose, or a strong score on one narrow task alone to dismiss a persistent functional concern. [1]</w:t>
      </w:r>
    </w:p>
    <w:p>
      <w:r>
        <w:br w:type="page"/>
      </w:r>
    </w:p>
    <w:p>
      <w:r>
        <w:rPr>
          <w:sz w:val="18"/>
        </w:rPr>
        <w:t>CLINICAL APPLICATION</w:t>
      </w:r>
    </w:p>
    <w:p>
      <w:pPr>
        <w:pStyle w:val="Heading1"/>
      </w:pPr>
      <w:r>
        <w:t>Three referral profiles and a defensible plan</w:t>
      </w:r>
    </w:p>
    <w:p>
      <w:r>
        <w:t>Fictional cases demonstrate decision-making, not preset diagnostic rules.</w:t>
      </w:r>
    </w:p>
    <w:p>
      <w:r>
        <w:rPr>
          <w:sz w:val="18"/>
        </w:rPr>
        <w:t>CASE 1</w:t>
      </w:r>
    </w:p>
    <w:p>
      <w:pPr>
        <w:pStyle w:val="Heading2"/>
      </w:pPr>
      <w:r>
        <w:t>A preschooler with distributed vocabulary</w:t>
      </w:r>
    </w:p>
    <w:p>
      <w:r>
        <w:t>Age 4;8; Spanish at home, English in preschool; family and teacher both want clearer messages.</w:t>
      </w:r>
    </w:p>
    <w:p>
      <w:r>
        <w:t>Review BESA and PLS-5 Spanish age/profile rules. Pair an appropriate measure with caregiver description, play or narrative samples, hearing/access information and functional observations.</w:t>
      </w:r>
    </w:p>
    <w:p>
      <w:r/>
      <w:r>
        <w:rPr>
          <w:b/>
        </w:rPr>
        <w:t>Clinical move:</w:t>
      </w:r>
      <w:r>
        <w:t xml:space="preserve"> Choose a score only after documenting fit. A bilingual label does not choose the test for you. [1, 2, 5]</w:t>
      </w:r>
    </w:p>
    <w:p>
      <w:r>
        <w:rPr>
          <w:sz w:val="18"/>
        </w:rPr>
        <w:t>CASE 2</w:t>
      </w:r>
    </w:p>
    <w:p>
      <w:pPr>
        <w:pStyle w:val="Heading2"/>
      </w:pPr>
      <w:r>
        <w:t>An eight-year-old with weak explanations</w:t>
      </w:r>
    </w:p>
    <w:p>
      <w:r>
        <w:t>Spanish with family; English-only schooling since kindergarten. The teacher reports difficulty explaining causes.</w:t>
      </w:r>
    </w:p>
    <w:p>
      <w:r>
        <w:t>BESA’s listed age range does not fit. Examine a matched Spanish/English narrative or explanation procedure and relevant language-specific probes. Consider CELF-4 Spanish or English CELF-5 only with explicit norm-fit limits.</w:t>
      </w:r>
    </w:p>
    <w:p>
      <w:r/>
      <w:r>
        <w:rPr>
          <w:b/>
        </w:rPr>
        <w:t>Clinical move:</w:t>
      </w:r>
      <w:r>
        <w:t xml:space="preserve"> Do not replace missing older bilingual norms with a younger test’s norms or with CELF-5 Spain. [1, 9, 11]</w:t>
      </w:r>
    </w:p>
    <w:p>
      <w:r>
        <w:rPr>
          <w:sz w:val="18"/>
        </w:rPr>
        <w:t>CASE 3</w:t>
      </w:r>
    </w:p>
    <w:p>
      <w:pPr>
        <w:pStyle w:val="Heading2"/>
      </w:pPr>
      <w:r>
        <w:t>A child whose speech differs across listeners</w:t>
      </w:r>
    </w:p>
    <w:p>
      <w:r>
        <w:t>Age 6; Caribbean Spanish-speaking family; listeners unfamiliar with the child report reduced intelligibility.</w:t>
      </w:r>
    </w:p>
    <w:p>
      <w:r>
        <w:t>Gather words and connected speech in both languages, examine dialect patterns, and ask familiar listeners about everyday communication. Consider Spanish speech tools, noting that BAPA’s Spanish sample was predominantly Mexican Spanish.</w:t>
      </w:r>
    </w:p>
    <w:p>
      <w:r/>
      <w:r>
        <w:rPr>
          <w:b/>
        </w:rPr>
        <w:t>Clinical move:</w:t>
      </w:r>
      <w:r>
        <w:t xml:space="preserve"> A dialect difference and an unfamiliar listener’s reaction are not, by themselves, evidence of a speech disorder. [1, 14, 27]</w:t>
      </w:r>
    </w:p>
    <w:p>
      <w:r>
        <w:br w:type="page"/>
      </w:r>
    </w:p>
    <w:p>
      <w:r>
        <w:rPr>
          <w:sz w:val="18"/>
        </w:rPr>
        <w:t>COPY INTO YOUR WORKFLOW</w:t>
      </w:r>
    </w:p>
    <w:p>
      <w:pPr>
        <w:pStyle w:val="Heading1"/>
      </w:pPr>
      <w:r>
        <w:t>Your assessment evidence note</w:t>
      </w:r>
    </w:p>
    <w:p>
      <w:r>
        <w:t>Complete this before writing the conclusion. Keep identifying information in your approved clinical record system.</w:t>
      </w:r>
    </w:p>
    <w:p>
      <w:pPr>
        <w:spacing w:after="60"/>
      </w:pPr>
      <w:r>
        <w:rPr>
          <w:b/>
        </w:rPr>
        <w:t>Referral question and daily communication demand</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Languages by person and setting; schooling; relevant access and dialect information</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92"/>
        <w:gridCol w:w="3888"/>
        <w:gridCol w:w="3888"/>
      </w:tblGrid>
      <w:tr>
        <w:trPr>
          <w:cantSplit/>
          <w:tblHeader/>
        </w:trPr>
        <w:tc>
          <w:tcPr>
            <w:tcW w:type="dxa" w:w="2592"/>
            <w:shd w:fill="315985"/>
            <w:tcMar>
              <w:top w:w="100" w:type="dxa"/>
              <w:bottom w:w="100" w:type="dxa"/>
              <w:left w:w="100" w:type="dxa"/>
              <w:right w:w="100" w:type="dxa"/>
            </w:tcMar>
          </w:tcPr>
          <w:p>
            <w:pPr>
              <w:spacing w:after="20" w:before="20" w:line="247" w:lineRule="auto"/>
            </w:pPr>
            <w:r>
              <w:rPr>
                <w:b/>
                <w:color w:val="FFFFFF"/>
                <w:sz w:val="18"/>
              </w:rPr>
              <w:t>Evidence item</w:t>
            </w:r>
          </w:p>
        </w:tc>
        <w:tc>
          <w:tcPr>
            <w:tcW w:type="dxa" w:w="3888"/>
            <w:shd w:fill="315985"/>
            <w:tcMar>
              <w:top w:w="100" w:type="dxa"/>
              <w:bottom w:w="100" w:type="dxa"/>
              <w:left w:w="100" w:type="dxa"/>
              <w:right w:w="100" w:type="dxa"/>
            </w:tcMar>
          </w:tcPr>
          <w:p>
            <w:pPr>
              <w:spacing w:after="20" w:before="20" w:line="247" w:lineRule="auto"/>
            </w:pPr>
            <w:r>
              <w:rPr>
                <w:b/>
                <w:color w:val="FFFFFF"/>
                <w:sz w:val="18"/>
              </w:rPr>
              <w:t>Exact version score and procedure</w:t>
            </w:r>
          </w:p>
        </w:tc>
        <w:tc>
          <w:tcPr>
            <w:tcW w:type="dxa" w:w="3888"/>
            <w:shd w:fill="315985"/>
            <w:tcMar>
              <w:top w:w="100" w:type="dxa"/>
              <w:bottom w:w="100" w:type="dxa"/>
              <w:left w:w="100" w:type="dxa"/>
              <w:right w:w="100" w:type="dxa"/>
            </w:tcMar>
          </w:tcPr>
          <w:p>
            <w:pPr>
              <w:spacing w:after="20" w:before="20" w:line="247" w:lineRule="auto"/>
            </w:pPr>
            <w:r>
              <w:rPr>
                <w:b/>
                <w:color w:val="FFFFFF"/>
                <w:sz w:val="18"/>
              </w:rPr>
              <w:t>Population fit or limitation</w:t>
            </w:r>
          </w:p>
        </w:tc>
      </w:tr>
      <w:tr>
        <w:trPr>
          <w:cantSplit/>
        </w:trPr>
        <w:tc>
          <w:tcPr>
            <w:tcW w:type="dxa" w:w="2592"/>
            <w:shd w:fill="FFFFFF"/>
            <w:tcMar>
              <w:top w:w="100" w:type="dxa"/>
              <w:bottom w:w="100" w:type="dxa"/>
              <w:left w:w="100" w:type="dxa"/>
              <w:right w:w="100" w:type="dxa"/>
            </w:tcMar>
          </w:tcPr>
          <w:p>
            <w:pPr>
              <w:spacing w:after="20" w:before="20" w:line="247" w:lineRule="auto"/>
            </w:pPr>
            <w:r>
              <w:rPr>
                <w:sz w:val="18"/>
              </w:rPr>
            </w:r>
          </w:p>
        </w:tc>
        <w:tc>
          <w:tcPr>
            <w:tcW w:type="dxa" w:w="3888"/>
            <w:shd w:fill="FFFFFF"/>
            <w:tcMar>
              <w:top w:w="100" w:type="dxa"/>
              <w:bottom w:w="100" w:type="dxa"/>
              <w:left w:w="100" w:type="dxa"/>
              <w:right w:w="100" w:type="dxa"/>
            </w:tcMar>
          </w:tcPr>
          <w:p>
            <w:pPr>
              <w:spacing w:after="20" w:before="20" w:line="247" w:lineRule="auto"/>
            </w:pPr>
            <w:r>
              <w:rPr>
                <w:sz w:val="18"/>
              </w:rPr>
            </w:r>
          </w:p>
        </w:tc>
        <w:tc>
          <w:tcPr>
            <w:tcW w:type="dxa" w:w="3888"/>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592"/>
            <w:shd w:fill="EFF4F8"/>
            <w:tcMar>
              <w:top w:w="100" w:type="dxa"/>
              <w:bottom w:w="100" w:type="dxa"/>
              <w:left w:w="100" w:type="dxa"/>
              <w:right w:w="100" w:type="dxa"/>
            </w:tcMar>
          </w:tcPr>
          <w:p>
            <w:pPr>
              <w:spacing w:after="20" w:before="20" w:line="247" w:lineRule="auto"/>
            </w:pPr>
            <w:r>
              <w:rPr>
                <w:sz w:val="18"/>
              </w:rPr>
            </w:r>
          </w:p>
        </w:tc>
        <w:tc>
          <w:tcPr>
            <w:tcW w:type="dxa" w:w="3888"/>
            <w:shd w:fill="EFF4F8"/>
            <w:tcMar>
              <w:top w:w="100" w:type="dxa"/>
              <w:bottom w:w="100" w:type="dxa"/>
              <w:left w:w="100" w:type="dxa"/>
              <w:right w:w="100" w:type="dxa"/>
            </w:tcMar>
          </w:tcPr>
          <w:p>
            <w:pPr>
              <w:spacing w:after="20" w:before="20" w:line="247" w:lineRule="auto"/>
            </w:pPr>
            <w:r>
              <w:rPr>
                <w:sz w:val="18"/>
              </w:rPr>
            </w:r>
          </w:p>
        </w:tc>
        <w:tc>
          <w:tcPr>
            <w:tcW w:type="dxa" w:w="3888"/>
            <w:shd w:fill="EFF4F8"/>
            <w:tcMar>
              <w:top w:w="100" w:type="dxa"/>
              <w:bottom w:w="100" w:type="dxa"/>
              <w:left w:w="100" w:type="dxa"/>
              <w:right w:w="100" w:type="dxa"/>
            </w:tcMar>
          </w:tcPr>
          <w:p>
            <w:pPr>
              <w:spacing w:after="20" w:before="20" w:line="247" w:lineRule="auto"/>
            </w:pPr>
            <w:r>
              <w:rPr>
                <w:sz w:val="18"/>
              </w:rPr>
            </w:r>
          </w:p>
        </w:tc>
      </w:tr>
      <w:tr>
        <w:trPr>
          <w:cantSplit/>
        </w:trPr>
        <w:tc>
          <w:tcPr>
            <w:tcW w:type="dxa" w:w="2592"/>
            <w:shd w:fill="FFFFFF"/>
            <w:tcMar>
              <w:top w:w="100" w:type="dxa"/>
              <w:bottom w:w="100" w:type="dxa"/>
              <w:left w:w="100" w:type="dxa"/>
              <w:right w:w="100" w:type="dxa"/>
            </w:tcMar>
          </w:tcPr>
          <w:p>
            <w:pPr>
              <w:spacing w:after="20" w:before="20" w:line="247" w:lineRule="auto"/>
            </w:pPr>
            <w:r>
              <w:rPr>
                <w:sz w:val="18"/>
              </w:rPr>
            </w:r>
          </w:p>
        </w:tc>
        <w:tc>
          <w:tcPr>
            <w:tcW w:type="dxa" w:w="3888"/>
            <w:shd w:fill="FFFFFF"/>
            <w:tcMar>
              <w:top w:w="100" w:type="dxa"/>
              <w:bottom w:w="100" w:type="dxa"/>
              <w:left w:w="100" w:type="dxa"/>
              <w:right w:w="100" w:type="dxa"/>
            </w:tcMar>
          </w:tcPr>
          <w:p>
            <w:pPr>
              <w:spacing w:after="20" w:before="20" w:line="247" w:lineRule="auto"/>
            </w:pPr>
            <w:r>
              <w:rPr>
                <w:sz w:val="18"/>
              </w:rPr>
            </w:r>
          </w:p>
        </w:tc>
        <w:tc>
          <w:tcPr>
            <w:tcW w:type="dxa" w:w="3888"/>
            <w:shd w:fill="FFFFFF"/>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Accuracy source: cutoff, clinical N, typical N, reference standard and uncertainty</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What findings converge; what conflicts; what evidence is still needed</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pStyle w:val="Heading3"/>
      </w:pPr>
      <w:r>
        <w:t>Quick manual request</w:t>
      </w:r>
    </w:p>
    <w:p>
      <w:r>
        <w:t>Ask the publisher or consult your authorized manual for the exact diagnostic table, norm-group inclusion rules, subgroup counts and permitted accommodations. Missing public information should become a documented question, not an invented value.</w:t>
      </w:r>
    </w:p>
    <w:p>
      <w:r>
        <w:br w:type="page"/>
      </w:r>
    </w:p>
    <w:p>
      <w:r>
        <w:rPr>
          <w:sz w:val="18"/>
        </w:rPr>
        <w:t>REFERENCE DESK</w:t>
      </w:r>
    </w:p>
    <w:p>
      <w:pPr>
        <w:pStyle w:val="Heading1"/>
      </w:pPr>
      <w:r>
        <w:t>Sources for language comparisons</w:t>
      </w:r>
    </w:p>
    <w:p>
      <w:r>
        <w:t>Public publisher information, manuals and original studies. Last checked September 26, 2026.</w:t>
      </w:r>
    </w:p>
    <w:p>
      <w:r>
        <w:rPr>
          <w:sz w:val="18"/>
        </w:rPr>
        <w:t xml:space="preserve">[1] ASHA. Multilingual service delivery in audiology and speech-language pathology. Practice Portal. </w:t>
      </w:r>
      <w:hyperlink r:id="rId13">
        <w:r>
          <w:rPr>
            <w:color w:val="215B77"/>
          </w:rPr>
          <w:t>https://www.asha.org/practice-portal/professional-issues/multilingual-service-delivery/</w:t>
        </w:r>
      </w:hyperlink>
      <w:r>
        <w:rPr>
          <w:sz w:val="18"/>
        </w:rPr>
      </w:r>
    </w:p>
    <w:p>
      <w:r>
        <w:rPr>
          <w:sz w:val="18"/>
        </w:rPr>
        <w:t xml:space="preserve">[2] Brookes Publishing. Bilingual English Spanish Assessment product information. </w:t>
      </w:r>
      <w:hyperlink r:id="rId14">
        <w:r>
          <w:rPr>
            <w:color w:val="215B77"/>
          </w:rPr>
          <w:t>https://brookespublishing.com/product/besa/</w:t>
        </w:r>
      </w:hyperlink>
      <w:r>
        <w:rPr>
          <w:sz w:val="18"/>
        </w:rPr>
      </w:r>
    </w:p>
    <w:p>
      <w:r>
        <w:rPr>
          <w:sz w:val="18"/>
        </w:rPr>
        <w:t xml:space="preserve">[3] Loveall, S. J., Channell, M. M., Mattie, L. J., &amp; Barkhimer, A. E. (2022). Inclusion of individuals with neurodevelopmental disorders in norm-referenced language assessments. Frontiers in Psychology, 13, 929433. Table 1. </w:t>
      </w:r>
      <w:hyperlink r:id="rId15">
        <w:r>
          <w:rPr>
            <w:color w:val="215B77"/>
          </w:rPr>
          <w:t>https://doi.org/10.3389/fpsyg.2022.929433</w:t>
        </w:r>
      </w:hyperlink>
      <w:r>
        <w:rPr>
          <w:sz w:val="18"/>
        </w:rPr>
      </w:r>
    </w:p>
    <w:p>
      <w:r>
        <w:rPr>
          <w:sz w:val="18"/>
        </w:rPr>
        <w:t xml:space="preserve">[4] Peña, E. D., Bedore, L. M., &amp; Kester, E. S. (2016). Assessment of language impairment in bilingual children using semantic tasks: Two languages classify better than one. International Journal of Language &amp; Communication Disorders, 51(2), 192–202. </w:t>
      </w:r>
      <w:hyperlink r:id="rId16">
        <w:r>
          <w:rPr>
            <w:color w:val="215B77"/>
          </w:rPr>
          <w:t>https://doi.org/10.1111/1460-6984.12199</w:t>
        </w:r>
      </w:hyperlink>
      <w:r>
        <w:rPr>
          <w:sz w:val="18"/>
        </w:rPr>
      </w:r>
    </w:p>
    <w:p>
      <w:r>
        <w:rPr>
          <w:sz w:val="18"/>
        </w:rPr>
        <w:t xml:space="preserve">[5] Pearson. Preschool Language Scales Fifth Edition Spanish. Product information. </w:t>
      </w:r>
      <w:hyperlink r:id="rId17">
        <w:r>
          <w:rPr>
            <w:color w:val="215B77"/>
          </w:rPr>
          <w:t>https://www.pearsonassessments.com/store/en/usd/p/100000401.html</w:t>
        </w:r>
      </w:hyperlink>
      <w:r>
        <w:rPr>
          <w:sz w:val="18"/>
        </w:rPr>
      </w:r>
    </w:p>
    <w:p>
      <w:r>
        <w:rPr>
          <w:sz w:val="18"/>
        </w:rPr>
        <w:t xml:space="preserve">[6] Pearson. PLS 5 family brochure. </w:t>
      </w:r>
      <w:hyperlink r:id="rId18">
        <w:r>
          <w:rPr>
            <w:color w:val="215B77"/>
          </w:rPr>
          <w:t>https://www.pearsonassessments.com/content/dam/school/global/clinical/us/assets/pls5/pls-5-brochure.pdf</w:t>
        </w:r>
      </w:hyperlink>
      <w:r>
        <w:rPr>
          <w:sz w:val="18"/>
        </w:rPr>
      </w:r>
    </w:p>
    <w:p>
      <w:r>
        <w:rPr>
          <w:sz w:val="18"/>
        </w:rPr>
        <w:t xml:space="preserve">[7] Pearson. Preschool Language Scales Fifth Edition. US product information and bilingual scoring FAQ. </w:t>
      </w:r>
      <w:hyperlink r:id="rId19">
        <w:r>
          <w:rPr>
            <w:color w:val="215B77"/>
          </w:rPr>
          <w:t>https://www.pearsonassessments.com/store/en/usd/p/100000233.html</w:t>
        </w:r>
      </w:hyperlink>
      <w:r>
        <w:rPr>
          <w:sz w:val="18"/>
        </w:rPr>
      </w:r>
    </w:p>
    <w:p>
      <w:r>
        <w:rPr>
          <w:sz w:val="18"/>
        </w:rPr>
        <w:t xml:space="preserve">[8] Pearson. PLS 5 Australian and New Zealand Language Adapted Edition. Publisher description identifies the US standardization sample. </w:t>
      </w:r>
      <w:hyperlink r:id="rId20">
        <w:r>
          <w:rPr>
            <w:color w:val="215B77"/>
          </w:rPr>
          <w:t>https://www.pearsonclinical.com.au/store/en/p/P100010183.html</w:t>
        </w:r>
      </w:hyperlink>
      <w:r>
        <w:rPr>
          <w:sz w:val="18"/>
        </w:rPr>
      </w:r>
    </w:p>
    <w:p>
      <w:r>
        <w:rPr>
          <w:sz w:val="18"/>
        </w:rPr>
        <w:t xml:space="preserve">[9] Pearson. CELF 4 Spanish. US product information and comparison with CELF 5 Spain. </w:t>
      </w:r>
      <w:hyperlink r:id="rId21">
        <w:r>
          <w:rPr>
            <w:color w:val="215B77"/>
          </w:rPr>
          <w:t>https://www.pearsonassessments.com/store/en/usd/p/100000436.html</w:t>
        </w:r>
      </w:hyperlink>
      <w:r>
        <w:rPr>
          <w:sz w:val="18"/>
        </w:rPr>
      </w:r>
    </w:p>
    <w:p>
      <w:r>
        <w:rPr>
          <w:sz w:val="18"/>
        </w:rPr>
        <w:t xml:space="preserve">[10] Barragan, B., Castilla-Earls, A., Martinez-Nieto, L., Restrepo, M. A., &amp; Gray, S. (2018). Performance of low-income dual language learners attending English-only schools on the Clinical Evaluation of Language Fundamentals Fourth Edition, Spanish. Language, Speech, and Hearing Services in Schools, 49, 292–305. </w:t>
      </w:r>
      <w:hyperlink r:id="rId22">
        <w:r>
          <w:rPr>
            <w:color w:val="215B77"/>
          </w:rPr>
          <w:t>https://doi.org/10.1044/2017_LSHSS-17-0013</w:t>
        </w:r>
      </w:hyperlink>
      <w:r>
        <w:rPr>
          <w:sz w:val="18"/>
        </w:rPr>
      </w:r>
    </w:p>
    <w:p>
      <w:r>
        <w:rPr>
          <w:sz w:val="18"/>
        </w:rPr>
        <w:t xml:space="preserve">[11] Pearson. CELF 5 Spain. Product information and comparison of Spanish editions. </w:t>
      </w:r>
      <w:hyperlink r:id="rId23">
        <w:r>
          <w:rPr>
            <w:color w:val="215B77"/>
          </w:rPr>
          <w:t>https://www.pearsonassessments.com/store/en/usd/p/P100035000.html</w:t>
        </w:r>
      </w:hyperlink>
      <w:r>
        <w:rPr>
          <w:sz w:val="18"/>
        </w:rPr>
      </w:r>
    </w:p>
    <w:p>
      <w:r>
        <w:rPr>
          <w:sz w:val="18"/>
        </w:rPr>
        <w:t xml:space="preserve">[12] Wiig, E. H., Semel, E., &amp; Secord, W. A. (2013). CELF 5 examiner’s manual. Pearson. p. 153, diagnostic combinations and cut scores. Public publisher copy. </w:t>
      </w:r>
      <w:hyperlink r:id="rId24">
        <w:r>
          <w:rPr>
            <w:color w:val="215B77"/>
          </w:rPr>
          <w:t>https://www.pearsonassessments.com/content/dam/school/global/clinical/us/assets/field-research/celf5-examiners-manual.pdf</w:t>
        </w:r>
      </w:hyperlink>
      <w:r>
        <w:rPr>
          <w:sz w:val="18"/>
        </w:rPr>
      </w:r>
    </w:p>
    <w:p>
      <w:r>
        <w:rPr>
          <w:sz w:val="18"/>
        </w:rPr>
        <w:t xml:space="preserve">[13] Pearson. CELF 5 technical information infographic. Normative N and publisher accuracy table. </w:t>
      </w:r>
      <w:hyperlink r:id="rId25">
        <w:r>
          <w:rPr>
            <w:color w:val="215B77"/>
          </w:rPr>
          <w:t>https://www.pearsonassessments.com/content/dam/school/global/clinical/us/assets/celf-5/8439-A_CELF-5_Infographic_Hr_f.jpg</w:t>
        </w:r>
      </w:hyperlink>
      <w:r>
        <w:rPr>
          <w:sz w:val="18"/>
        </w:rPr>
      </w:r>
    </w:p>
    <w:p>
      <w:r>
        <w:rPr>
          <w:sz w:val="18"/>
        </w:rPr>
        <w:t xml:space="preserve">[28] Pearson. CELF Preschool 2 Spanish. Product information, age range and standardization summary. </w:t>
      </w:r>
      <w:hyperlink r:id="rId26">
        <w:r>
          <w:rPr>
            <w:color w:val="215B77"/>
          </w:rPr>
          <w:t>https://www.pearsonassessments.com/store/en/usd/p/100000167.html</w:t>
        </w:r>
      </w:hyperlink>
      <w:r>
        <w:rPr>
          <w:sz w:val="18"/>
        </w:rPr>
      </w:r>
    </w:p>
    <w:p>
      <w:r>
        <w:br w:type="page"/>
      </w:r>
    </w:p>
    <w:p>
      <w:r>
        <w:rPr>
          <w:sz w:val="18"/>
        </w:rPr>
        <w:t>REFERENCE DESK</w:t>
      </w:r>
    </w:p>
    <w:p>
      <w:pPr>
        <w:pStyle w:val="Heading1"/>
      </w:pPr>
      <w:r>
        <w:t>Sources for speech and complementary methods</w:t>
      </w:r>
    </w:p>
    <w:p>
      <w:r>
        <w:t>References support the named claims; original case examples and worksheets are editorial applications.</w:t>
      </w:r>
    </w:p>
    <w:p>
      <w:r>
        <w:rPr>
          <w:sz w:val="18"/>
        </w:rPr>
        <w:t xml:space="preserve">[14] Smarty Ears. Bilingual Articulation and Phonology Assessment. Standardization and accuracy table. </w:t>
      </w:r>
      <w:hyperlink r:id="rId27">
        <w:r>
          <w:rPr>
            <w:color w:val="215B77"/>
          </w:rPr>
          <w:t>https://www.smartyearsapps.com/bilingual-articulation-and-phonology-assessment/</w:t>
        </w:r>
      </w:hyperlink>
      <w:r>
        <w:rPr>
          <w:sz w:val="18"/>
        </w:rPr>
      </w:r>
    </w:p>
    <w:p>
      <w:r>
        <w:rPr>
          <w:sz w:val="18"/>
        </w:rPr>
        <w:t xml:space="preserve">[15] Pearson. GFTA 3 Spanish technical summary. Sonidos-en-palabras accuracy table. </w:t>
      </w:r>
      <w:hyperlink r:id="rId28">
        <w:r>
          <w:rPr>
            <w:color w:val="215B77"/>
          </w:rPr>
          <w:t>https://www.pearsonassessments.com/content/dam/school/global/clinical/us/assets/gfta-3/GFTA-3-Spanish-Technical-Summary.pdf</w:t>
        </w:r>
      </w:hyperlink>
      <w:r>
        <w:rPr>
          <w:sz w:val="18"/>
        </w:rPr>
      </w:r>
    </w:p>
    <w:p>
      <w:r>
        <w:rPr>
          <w:sz w:val="18"/>
        </w:rPr>
        <w:t xml:space="preserve">[16] Academic Therapy Publications. EOWPVT 4 Spanish Bilingual Edition. Product and administration information. </w:t>
      </w:r>
      <w:hyperlink r:id="rId29">
        <w:r>
          <w:rPr>
            <w:color w:val="215B77"/>
          </w:rPr>
          <w:t>https://assessments.academictherapy.com/i/expressive-one-word-picture-vocabulary-test-4th-edition-spanish-bilingual-edition-eowpvt-4-sbe</w:t>
        </w:r>
      </w:hyperlink>
      <w:r>
        <w:rPr>
          <w:sz w:val="18"/>
        </w:rPr>
      </w:r>
    </w:p>
    <w:p>
      <w:r>
        <w:rPr>
          <w:sz w:val="18"/>
        </w:rPr>
        <w:t xml:space="preserve">[17] Academic Therapy Publications. ROWPVT 4 Spanish Bilingual Edition. Product information. </w:t>
      </w:r>
      <w:hyperlink r:id="rId30">
        <w:r>
          <w:rPr>
            <w:color w:val="215B77"/>
          </w:rPr>
          <w:t>https://assessments.academictherapy.com/i/receptive-one-word-picture-vocabulary-test-4th-edition-spanish-bilingual-edition-rowpvt-4-sbe</w:t>
        </w:r>
      </w:hyperlink>
      <w:r>
        <w:rPr>
          <w:sz w:val="18"/>
        </w:rPr>
      </w:r>
    </w:p>
    <w:p>
      <w:r>
        <w:rPr>
          <w:sz w:val="18"/>
        </w:rPr>
        <w:t xml:space="preserve">[18] De Anda, S., Cycyk, L. M., Moore, H., Huerta, L., Larson, A. L., &amp; King, M. (2022). Psychometric properties of the English Spanish Vocabulary Inventory in toddlers with and without early language delay. Journal of Speech, Language, and Hearing Research, 65(2), 672–691. </w:t>
      </w:r>
      <w:hyperlink r:id="rId31">
        <w:r>
          <w:rPr>
            <w:color w:val="215B77"/>
          </w:rPr>
          <w:t>https://doi.org/10.1044/2021_JSLHR-21-00240</w:t>
        </w:r>
      </w:hyperlink>
      <w:r>
        <w:rPr>
          <w:sz w:val="18"/>
        </w:rPr>
      </w:r>
    </w:p>
    <w:p>
      <w:r>
        <w:rPr>
          <w:sz w:val="18"/>
        </w:rPr>
        <w:t xml:space="preserve">[19] SALT Software. Bilingual Spanish English Story Retell reference databases. Database counts, participants and elicitation protocol. </w:t>
      </w:r>
      <w:hyperlink r:id="rId32">
        <w:r>
          <w:rPr>
            <w:color w:val="215B77"/>
          </w:rPr>
          <w:t>https://www.saltsoftware.com/coursefiles/SelfCheck/shared/BilingualSEStoryRetellRDBDoc.pdf</w:t>
        </w:r>
      </w:hyperlink>
      <w:r>
        <w:rPr>
          <w:sz w:val="18"/>
        </w:rPr>
      </w:r>
    </w:p>
    <w:p>
      <w:r>
        <w:rPr>
          <w:sz w:val="18"/>
        </w:rPr>
        <w:t xml:space="preserve">[20] LEADERSproject. School Age Language Assessment Measures. Materials index. </w:t>
      </w:r>
      <w:hyperlink r:id="rId33">
        <w:r>
          <w:rPr>
            <w:color w:val="215B77"/>
          </w:rPr>
          <w:t>https://www.leadersproject.org/en/category/slam</w:t>
        </w:r>
      </w:hyperlink>
      <w:r>
        <w:rPr>
          <w:sz w:val="18"/>
        </w:rPr>
      </w:r>
    </w:p>
    <w:p>
      <w:r>
        <w:rPr>
          <w:sz w:val="18"/>
        </w:rPr>
        <w:t xml:space="preserve">[21] Gagarina, N., et al. (2019). MAIN Multilingual Assessment Instrument for Narratives revised. ZAS Papers in Linguistics, 63. European Spanish version adapted by M. J. Ezeizabarrena (2020). </w:t>
      </w:r>
      <w:hyperlink r:id="rId34">
        <w:r>
          <w:rPr>
            <w:color w:val="215B77"/>
          </w:rPr>
          <w:t>https://www.leibniz-zas.de/fileadmin/media/Dokumente/ZASPiL/ZASPiL_63/MAIN_Spanish_2020_Revised.pdf</w:t>
        </w:r>
      </w:hyperlink>
      <w:r>
        <w:rPr>
          <w:sz w:val="18"/>
        </w:rPr>
      </w:r>
    </w:p>
    <w:p>
      <w:r>
        <w:rPr>
          <w:sz w:val="18"/>
        </w:rPr>
        <w:t xml:space="preserve">[22] Kapantzoglou, M., Restrepo, M. A., &amp; Thompson, M. S. (2012). Dynamic assessment of word learning skills: Identifying language impairment in bilingual children. Language, Speech, and Hearing Services in Schools, 43, 81–96. </w:t>
      </w:r>
      <w:hyperlink r:id="rId35">
        <w:r>
          <w:rPr>
            <w:color w:val="215B77"/>
          </w:rPr>
          <w:t>https://doi.org/10.1044/0161-1461(2011/10-0095)</w:t>
        </w:r>
      </w:hyperlink>
      <w:r>
        <w:rPr>
          <w:sz w:val="18"/>
        </w:rPr>
      </w:r>
    </w:p>
    <w:p>
      <w:r>
        <w:rPr>
          <w:sz w:val="18"/>
        </w:rPr>
        <w:t xml:space="preserve">[23] Peña, E. D., Gillam, R. B., &amp; Bedore, L. M. (2014). Dynamic assessment of narrative ability in English accurately identifies language impairment in English language learners. Journal of Speech, Language, and Hearing Research, 57, 2208–2220. </w:t>
      </w:r>
      <w:hyperlink r:id="rId36">
        <w:r>
          <w:rPr>
            <w:color w:val="215B77"/>
          </w:rPr>
          <w:t>https://doi.org/10.1044/2014_JSLHR-L-13-0151</w:t>
        </w:r>
      </w:hyperlink>
      <w:r>
        <w:rPr>
          <w:sz w:val="18"/>
        </w:rPr>
      </w:r>
    </w:p>
    <w:p>
      <w:r>
        <w:rPr>
          <w:sz w:val="18"/>
        </w:rPr>
        <w:t xml:space="preserve">[24] Orellana, C. I., Wada, R., &amp; Gillam, R. B. (2019). The use of dynamic assessment for the diagnosis of language disorders in bilingual children: A meta-analysis. American Journal of Speech-Language Pathology, 28, 1298–1317. </w:t>
      </w:r>
      <w:hyperlink r:id="rId37">
        <w:r>
          <w:rPr>
            <w:color w:val="215B77"/>
          </w:rPr>
          <w:t>https://doi.org/10.1044/2019_AJSLP-18-0202</w:t>
        </w:r>
      </w:hyperlink>
      <w:r>
        <w:rPr>
          <w:sz w:val="18"/>
        </w:rPr>
      </w:r>
    </w:p>
    <w:p>
      <w:r>
        <w:rPr>
          <w:sz w:val="18"/>
        </w:rPr>
        <w:t xml:space="preserve">[25] ASHA. Collaborating with interpreters, transliterators, and translators. Practice Portal. </w:t>
      </w:r>
      <w:hyperlink r:id="rId38">
        <w:r>
          <w:rPr>
            <w:color w:val="215B77"/>
          </w:rPr>
          <w:t>https://www.asha.org/practice-portal/professional-issues/collaborating-with-interpreters/</w:t>
        </w:r>
      </w:hyperlink>
      <w:r>
        <w:rPr>
          <w:sz w:val="18"/>
        </w:rPr>
      </w:r>
    </w:p>
    <w:p>
      <w:r>
        <w:rPr>
          <w:sz w:val="18"/>
        </w:rPr>
        <w:t xml:space="preserve">[26] Bilinguistics. Evaluation resources. Resource index for further professional learning. </w:t>
      </w:r>
      <w:hyperlink r:id="rId39">
        <w:r>
          <w:rPr>
            <w:color w:val="215B77"/>
          </w:rPr>
          <w:t>https://bilinguistics.com/evaluation-resources/</w:t>
        </w:r>
      </w:hyperlink>
      <w:r>
        <w:rPr>
          <w:sz w:val="18"/>
        </w:rPr>
      </w:r>
    </w:p>
    <w:p>
      <w:r>
        <w:rPr>
          <w:sz w:val="18"/>
        </w:rPr>
        <w:t xml:space="preserve">[27] Pearson. Goldman Fristoe Test of Articulation Third Edition Spanish. Product information. </w:t>
      </w:r>
      <w:hyperlink r:id="rId40">
        <w:r>
          <w:rPr>
            <w:color w:val="215B77"/>
          </w:rPr>
          <w:t>https://www.pearsonassessments.com/store/usd/p/100001920.html</w:t>
        </w:r>
      </w:hyperlink>
      <w:r>
        <w:rPr>
          <w:sz w:val="18"/>
        </w:rPr>
      </w:r>
    </w:p>
    <w:p>
      <w:r>
        <w:t>Further professional learning: Bilinguistics evaluation resources [26] and LEADERSproject SLAM materials [20]. Availability of a resource does not, by itself, establish diagnostic validity.</w:t>
      </w:r>
    </w:p>
    <w:p>
      <w:r>
        <w:br w:type="page"/>
      </w:r>
    </w:p>
    <w:p>
      <w:r>
        <w:rPr>
          <w:sz w:val="18"/>
        </w:rPr>
        <w:t>SOURCE TRAIL 3 OF 4</w:t>
      </w:r>
    </w:p>
    <w:p>
      <w:pPr>
        <w:pStyle w:val="Heading1"/>
      </w:pPr>
      <w:r>
        <w:t>Sources for the expanded accuracy tables</w:t>
      </w:r>
    </w:p>
    <w:p>
      <w:r>
        <w:t>Secondary reports are identified explicitly; their limitations remain beside the clinical tables.</w:t>
      </w:r>
    </w:p>
    <w:p>
      <w:r>
        <w:rPr>
          <w:sz w:val="18"/>
        </w:rPr>
        <w:t xml:space="preserve">[29] LEADERSproject. (2013). Test review: PLS-5 Spanish. pp. 5–6. Secondary manual review. </w:t>
      </w:r>
      <w:hyperlink r:id="rId41">
        <w:r>
          <w:rPr>
            <w:color w:val="215B77"/>
          </w:rPr>
          <w:t>https://cpb-us-w2.wpmucdn.com/edblogs.columbia.edu/dist/d/730/files/2015/05/PLS-5-Spanish-2012_Pub_10.29.13-18cdkt8.pdf</w:t>
        </w:r>
      </w:hyperlink>
      <w:r>
        <w:rPr>
          <w:sz w:val="18"/>
        </w:rPr>
      </w:r>
    </w:p>
    <w:p>
      <w:r>
        <w:rPr>
          <w:sz w:val="18"/>
        </w:rPr>
        <w:t xml:space="preserve">[30] Bilinguistics. Common communication measures for diverse students. pp. 42–43 (PDF pp. 8–9). Secondary comparison. </w:t>
      </w:r>
      <w:hyperlink r:id="rId42">
        <w:r>
          <w:rPr>
            <w:color w:val="215B77"/>
          </w:rPr>
          <w:t>https://bilinguistics.com/wp-content/uploads/2013/12/Common-Communication-Measures-for-Diverse-Students.pdf</w:t>
        </w:r>
      </w:hyperlink>
      <w:r>
        <w:rPr>
          <w:sz w:val="18"/>
        </w:rPr>
      </w:r>
    </w:p>
    <w:p>
      <w:r>
        <w:rPr>
          <w:sz w:val="18"/>
        </w:rPr>
        <w:t xml:space="preserve">[31] King, M., Larson, A. L., &amp; Buzhardt, J. (2022; online 2021). Exploring the Classification Accuracy of the Early Communication Indicator (ECI) With Dual-Language Learners From Latinx Backgrounds. Assessment for Effective Intervention, 47(4), 209–219. p. 212: secondary PLS attribution. </w:t>
      </w:r>
      <w:hyperlink r:id="rId43">
        <w:r>
          <w:rPr>
            <w:color w:val="215B77"/>
          </w:rPr>
          <w:t>https://files.eric.ed.gov/fulltext/EJ1347585.pdf</w:t>
        </w:r>
      </w:hyperlink>
      <w:r>
        <w:rPr>
          <w:sz w:val="18"/>
        </w:rPr>
      </w:r>
    </w:p>
    <w:p>
      <w:r>
        <w:rPr>
          <w:sz w:val="18"/>
        </w:rPr>
        <w:t xml:space="preserve">[32] LEADERSproject. (2013). Test review: PLS-5 English. pp. 5–6. Secondary US manual review. </w:t>
      </w:r>
      <w:hyperlink r:id="rId44">
        <w:r>
          <w:rPr>
            <w:color w:val="215B77"/>
          </w:rPr>
          <w:t>https://bpb-us-w2.wpmucdn.com/edblogs.columbia.edu/dist/e/748/files/2015/05/PLS5-English-finaldraft-2dgptop.pdf</w:t>
        </w:r>
      </w:hyperlink>
      <w:r>
        <w:rPr>
          <w:sz w:val="18"/>
        </w:rPr>
      </w:r>
    </w:p>
    <w:p>
      <w:r>
        <w:rPr>
          <w:sz w:val="18"/>
        </w:rPr>
        <w:t xml:space="preserve">[33] Castilla-Earls, A., et al. (2020). Beyond Scores: Using Converging Evidence to Determine Speech and Language Services Eligibility for Dual Language Learners. AJSLP, 29, 1116–1132. p. 1126: secondary accuracy reports. </w:t>
      </w:r>
      <w:hyperlink r:id="rId45">
        <w:r>
          <w:rPr>
            <w:color w:val="215B77"/>
          </w:rPr>
          <w:t>https://lilta.org/wp-content/uploads/2020/12/Beyond-Scores-Using-Converging-Evidence-to-Determine-Speech-and-Language-Services-Eligibility-for-Dual-Language-Learners.pdf</w:t>
        </w:r>
      </w:hyperlink>
      <w:r>
        <w:rPr>
          <w:sz w:val="18"/>
        </w:rPr>
      </w:r>
    </w:p>
    <w:p>
      <w:r>
        <w:rPr>
          <w:sz w:val="18"/>
        </w:rPr>
        <w:t xml:space="preserve">[34] Lazewnik, R., et al. (2019). Identifiers of Language Impairment for Spanish-English Dual Language Learners. LSHSS, 50(1), 126–137. Primary abstract verifies study context. </w:t>
      </w:r>
      <w:hyperlink r:id="rId46">
        <w:r>
          <w:rPr>
            <w:color w:val="215B77"/>
          </w:rPr>
          <w:t>https://repository.daemen.edu/works/publication-article/8esdw-e6f37</w:t>
        </w:r>
      </w:hyperlink>
      <w:r>
        <w:rPr>
          <w:sz w:val="18"/>
        </w:rPr>
      </w:r>
    </w:p>
    <w:p>
      <w:r>
        <w:rPr>
          <w:sz w:val="18"/>
        </w:rPr>
        <w:t xml:space="preserve">[35] LEADERSproject. (2014). Test review: CELF-4 Spanish. pp. 7–8. Secondary manual review. </w:t>
      </w:r>
      <w:hyperlink r:id="rId47">
        <w:r>
          <w:rPr>
            <w:color w:val="215B77"/>
          </w:rPr>
          <w:t>https://cpb-us-w2.wpmucdn.com/edblogs.columbia.edu/dist/d/730/files/2015/05/TestReview_CELF-4-Spanish_1.8.14-1z5jjx9.pdf</w:t>
        </w:r>
      </w:hyperlink>
      <w:r>
        <w:rPr>
          <w:sz w:val="18"/>
        </w:rPr>
      </w:r>
    </w:p>
    <w:p>
      <w:r>
        <w:br w:type="page"/>
      </w:r>
    </w:p>
    <w:p>
      <w:r>
        <w:rPr>
          <w:sz w:val="18"/>
        </w:rPr>
        <w:t>SOURCE TRAIL 4 OF 4</w:t>
      </w:r>
    </w:p>
    <w:p>
      <w:pPr>
        <w:pStyle w:val="Heading1"/>
      </w:pPr>
      <w:r>
        <w:t>Sources for the additional English measures</w:t>
      </w:r>
    </w:p>
    <w:p>
      <w:r>
        <w:t>The catalog retains fuller source links and study notes for maintenance.</w:t>
      </w:r>
    </w:p>
    <w:p>
      <w:r>
        <w:rPr>
          <w:sz w:val="18"/>
        </w:rPr>
        <w:t xml:space="preserve">[36] Pearson. CELF-5 Spain brochure. p. 6, normative sample. </w:t>
      </w:r>
      <w:hyperlink r:id="rId48">
        <w:r>
          <w:rPr>
            <w:color w:val="215B77"/>
          </w:rPr>
          <w:t>https://www.pearsonclinical.es/content/dam/school/global/clinical/clinical-es/whitepapers/Folleto-CELF-5-Spain-WEB.pdf</w:t>
        </w:r>
      </w:hyperlink>
      <w:r>
        <w:rPr>
          <w:sz w:val="18"/>
        </w:rPr>
      </w:r>
    </w:p>
    <w:p>
      <w:r>
        <w:rPr>
          <w:sz w:val="18"/>
        </w:rPr>
        <w:t xml:space="preserve">[37] Pearson. (2020). CELF Preschool-3 technical summary. Accuracy table and norms. </w:t>
      </w:r>
      <w:hyperlink r:id="rId49">
        <w:r>
          <w:rPr>
            <w:color w:val="215B77"/>
          </w:rPr>
          <w:t>https://www.pearsonassessments.com/content/dam/school/global/clinical/us/assets/celf-preschool-3/celf-p3-technical-summary.pdf</w:t>
        </w:r>
      </w:hyperlink>
      <w:r>
        <w:rPr>
          <w:sz w:val="18"/>
        </w:rPr>
      </w:r>
    </w:p>
    <w:p>
      <w:r>
        <w:rPr>
          <w:sz w:val="18"/>
        </w:rPr>
        <w:t xml:space="preserve">[38] Nelson, N. W., Plante, E., Helm-Estabrooks, N., &amp; Hotz, G. (2016). TILLS technical manual excerpt. Brookes. pp. 10–11, Tables 2.1–2.2. </w:t>
      </w:r>
      <w:hyperlink r:id="rId50">
        <w:r>
          <w:rPr>
            <w:color w:val="215B77"/>
          </w:rPr>
          <w:t>https://tillstest.com/wp-content/uploads/2021/04/TILLS-Technical-Chapter-excerpt.pdf</w:t>
        </w:r>
      </w:hyperlink>
      <w:r>
        <w:rPr>
          <w:sz w:val="18"/>
        </w:rPr>
      </w:r>
    </w:p>
    <w:p>
      <w:r>
        <w:rPr>
          <w:sz w:val="18"/>
        </w:rPr>
        <w:t xml:space="preserve">[39] Brookes Publishing. TILLS frequently asked questions. Language-experience eligibility and use. </w:t>
      </w:r>
      <w:hyperlink r:id="rId51">
        <w:r>
          <w:rPr>
            <w:color w:val="215B77"/>
          </w:rPr>
          <w:t>https://tillstest.com/faqs/</w:t>
        </w:r>
      </w:hyperlink>
      <w:r>
        <w:rPr>
          <w:sz w:val="18"/>
        </w:rPr>
      </w:r>
    </w:p>
    <w:p>
      <w:r>
        <w:rPr>
          <w:sz w:val="18"/>
        </w:rPr>
        <w:t xml:space="preserve">[40] Ferrell, K. R. (n.d.). Understanding sensitivity and specificity. WPS. Table 2, p. 5, original CASL-2 analysis. </w:t>
      </w:r>
      <w:hyperlink r:id="rId52">
        <w:r>
          <w:rPr>
            <w:color w:val="215B77"/>
          </w:rPr>
          <w:t>https://ecom-cdn.wpspublish.com/prod/media/wysiwyg/casl-2_sensitivity_specificity_1.pdf</w:t>
        </w:r>
      </w:hyperlink>
      <w:r>
        <w:rPr>
          <w:sz w:val="18"/>
        </w:rPr>
      </w:r>
    </w:p>
    <w:p>
      <w:r>
        <w:rPr>
          <w:sz w:val="18"/>
        </w:rPr>
        <w:t xml:space="preserve">[41] WPS. (2024, July 30). Oral language assessment webinar handout. Slides 63–66, CASL-2 norms and English proficiency. </w:t>
      </w:r>
      <w:hyperlink r:id="rId53">
        <w:r>
          <w:rPr>
            <w:color w:val="215B77"/>
          </w:rPr>
          <w:t>https://pages.wpspublish.com/hubfs/Webinar%20PPT%20Slides/Oral%20Language%20PPT%20handout%20073024.pdf</w:t>
        </w:r>
      </w:hyperlink>
      <w:r>
        <w:rPr>
          <w:sz w:val="18"/>
        </w:rPr>
      </w:r>
    </w:p>
    <w:p>
      <w:r>
        <w:rPr>
          <w:sz w:val="18"/>
        </w:rPr>
        <w:t xml:space="preserve">[42] Brookes Publishing. (2015). How to get the most out of TILLS: Webinar Q&amp;A. p. 3, normative N. </w:t>
      </w:r>
      <w:hyperlink r:id="rId54">
        <w:r>
          <w:rPr>
            <w:color w:val="215B77"/>
          </w:rPr>
          <w:t>https://brookespublishing.com/wp-content/uploads/2021/06/TILLS-How-to-get-the-most-out-of-TILLS-webinar-QA-2015.pdf</w:t>
        </w:r>
      </w:hyperlink>
      <w:r>
        <w:rPr>
          <w:sz w:val="18"/>
        </w:rPr>
      </w:r>
    </w:p>
    <w:p>
      <w:r/>
      <w:r>
        <w:rPr>
          <w:b/>
        </w:rPr>
        <w:t>Source practice:</w:t>
      </w:r>
      <w:r>
        <w:t xml:space="preserve"> missing diagnostic denominators and confidence intervals are not estimated from rounded rates. A norm sample, a development sample and an accuracy-analysis sample are different counts. Figures were checked September 27, 2026; confirm the edition and licensed manual before operational use.</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Updated September 27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CLINICIAN QUICK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www.asha.org/practice-portal/professional-issues/multilingual-service-delivery/" TargetMode="External"/><Relationship Id="rId14" Type="http://schemas.openxmlformats.org/officeDocument/2006/relationships/hyperlink" Target="https://brookespublishing.com/product/besa/" TargetMode="External"/><Relationship Id="rId15" Type="http://schemas.openxmlformats.org/officeDocument/2006/relationships/hyperlink" Target="https://doi.org/10.3389/fpsyg.2022.929433" TargetMode="External"/><Relationship Id="rId16" Type="http://schemas.openxmlformats.org/officeDocument/2006/relationships/hyperlink" Target="https://doi.org/10.1111/1460-6984.12199" TargetMode="External"/><Relationship Id="rId17" Type="http://schemas.openxmlformats.org/officeDocument/2006/relationships/hyperlink" Target="https://www.pearsonassessments.com/store/en/usd/p/100000401.html" TargetMode="External"/><Relationship Id="rId18" Type="http://schemas.openxmlformats.org/officeDocument/2006/relationships/hyperlink" Target="https://www.pearsonassessments.com/content/dam/school/global/clinical/us/assets/pls5/pls-5-brochure.pdf" TargetMode="External"/><Relationship Id="rId19" Type="http://schemas.openxmlformats.org/officeDocument/2006/relationships/hyperlink" Target="https://www.pearsonassessments.com/store/en/usd/p/100000233.html" TargetMode="External"/><Relationship Id="rId20" Type="http://schemas.openxmlformats.org/officeDocument/2006/relationships/hyperlink" Target="https://www.pearsonclinical.com.au/store/en/p/P100010183.html" TargetMode="External"/><Relationship Id="rId21" Type="http://schemas.openxmlformats.org/officeDocument/2006/relationships/hyperlink" Target="https://www.pearsonassessments.com/store/en/usd/p/100000436.html" TargetMode="External"/><Relationship Id="rId22" Type="http://schemas.openxmlformats.org/officeDocument/2006/relationships/hyperlink" Target="https://doi.org/10.1044/2017_LSHSS-17-0013" TargetMode="External"/><Relationship Id="rId23" Type="http://schemas.openxmlformats.org/officeDocument/2006/relationships/hyperlink" Target="https://www.pearsonassessments.com/store/en/usd/p/P100035000.html" TargetMode="External"/><Relationship Id="rId24" Type="http://schemas.openxmlformats.org/officeDocument/2006/relationships/hyperlink" Target="https://www.pearsonassessments.com/content/dam/school/global/clinical/us/assets/field-research/celf5-examiners-manual.pdf" TargetMode="External"/><Relationship Id="rId25" Type="http://schemas.openxmlformats.org/officeDocument/2006/relationships/hyperlink" Target="https://www.pearsonassessments.com/content/dam/school/global/clinical/us/assets/celf-5/8439-A_CELF-5_Infographic_Hr_f.jpg" TargetMode="External"/><Relationship Id="rId26" Type="http://schemas.openxmlformats.org/officeDocument/2006/relationships/hyperlink" Target="https://www.pearsonassessments.com/store/en/usd/p/100000167.html" TargetMode="External"/><Relationship Id="rId27" Type="http://schemas.openxmlformats.org/officeDocument/2006/relationships/hyperlink" Target="https://www.smartyearsapps.com/bilingual-articulation-and-phonology-assessment/" TargetMode="External"/><Relationship Id="rId28" Type="http://schemas.openxmlformats.org/officeDocument/2006/relationships/hyperlink" Target="https://www.pearsonassessments.com/content/dam/school/global/clinical/us/assets/gfta-3/GFTA-3-Spanish-Technical-Summary.pdf" TargetMode="External"/><Relationship Id="rId29" Type="http://schemas.openxmlformats.org/officeDocument/2006/relationships/hyperlink" Target="https://assessments.academictherapy.com/i/expressive-one-word-picture-vocabulary-test-4th-edition-spanish-bilingual-edition-eowpvt-4-sbe" TargetMode="External"/><Relationship Id="rId30" Type="http://schemas.openxmlformats.org/officeDocument/2006/relationships/hyperlink" Target="https://assessments.academictherapy.com/i/receptive-one-word-picture-vocabulary-test-4th-edition-spanish-bilingual-edition-rowpvt-4-sbe" TargetMode="External"/><Relationship Id="rId31" Type="http://schemas.openxmlformats.org/officeDocument/2006/relationships/hyperlink" Target="https://doi.org/10.1044/2021_JSLHR-21-00240" TargetMode="External"/><Relationship Id="rId32" Type="http://schemas.openxmlformats.org/officeDocument/2006/relationships/hyperlink" Target="https://www.saltsoftware.com/coursefiles/SelfCheck/shared/BilingualSEStoryRetellRDBDoc.pdf" TargetMode="External"/><Relationship Id="rId33" Type="http://schemas.openxmlformats.org/officeDocument/2006/relationships/hyperlink" Target="https://www.leadersproject.org/en/category/slam" TargetMode="External"/><Relationship Id="rId34" Type="http://schemas.openxmlformats.org/officeDocument/2006/relationships/hyperlink" Target="https://www.leibniz-zas.de/fileadmin/media/Dokumente/ZASPiL/ZASPiL_63/MAIN_Spanish_2020_Revised.pdf" TargetMode="External"/><Relationship Id="rId35" Type="http://schemas.openxmlformats.org/officeDocument/2006/relationships/hyperlink" Target="https://doi.org/10.1044/0161-1461(2011/10-0095)" TargetMode="External"/><Relationship Id="rId36" Type="http://schemas.openxmlformats.org/officeDocument/2006/relationships/hyperlink" Target="https://doi.org/10.1044/2014_JSLHR-L-13-0151" TargetMode="External"/><Relationship Id="rId37" Type="http://schemas.openxmlformats.org/officeDocument/2006/relationships/hyperlink" Target="https://doi.org/10.1044/2019_AJSLP-18-0202" TargetMode="External"/><Relationship Id="rId38" Type="http://schemas.openxmlformats.org/officeDocument/2006/relationships/hyperlink" Target="https://www.asha.org/practice-portal/professional-issues/collaborating-with-interpreters/" TargetMode="External"/><Relationship Id="rId39" Type="http://schemas.openxmlformats.org/officeDocument/2006/relationships/hyperlink" Target="https://bilinguistics.com/evaluation-resources/" TargetMode="External"/><Relationship Id="rId40" Type="http://schemas.openxmlformats.org/officeDocument/2006/relationships/hyperlink" Target="https://www.pearsonassessments.com/store/usd/p/100001920.html" TargetMode="External"/><Relationship Id="rId41" Type="http://schemas.openxmlformats.org/officeDocument/2006/relationships/hyperlink" Target="https://cpb-us-w2.wpmucdn.com/edblogs.columbia.edu/dist/d/730/files/2015/05/PLS-5-Spanish-2012_Pub_10.29.13-18cdkt8.pdf" TargetMode="External"/><Relationship Id="rId42" Type="http://schemas.openxmlformats.org/officeDocument/2006/relationships/hyperlink" Target="https://bilinguistics.com/wp-content/uploads/2013/12/Common-Communication-Measures-for-Diverse-Students.pdf" TargetMode="External"/><Relationship Id="rId43" Type="http://schemas.openxmlformats.org/officeDocument/2006/relationships/hyperlink" Target="https://files.eric.ed.gov/fulltext/EJ1347585.pdf" TargetMode="External"/><Relationship Id="rId44" Type="http://schemas.openxmlformats.org/officeDocument/2006/relationships/hyperlink" Target="https://bpb-us-w2.wpmucdn.com/edblogs.columbia.edu/dist/e/748/files/2015/05/PLS5-English-finaldraft-2dgptop.pdf" TargetMode="External"/><Relationship Id="rId45" Type="http://schemas.openxmlformats.org/officeDocument/2006/relationships/hyperlink" Target="https://lilta.org/wp-content/uploads/2020/12/Beyond-Scores-Using-Converging-Evidence-to-Determine-Speech-and-Language-Services-Eligibility-for-Dual-Language-Learners.pdf" TargetMode="External"/><Relationship Id="rId46" Type="http://schemas.openxmlformats.org/officeDocument/2006/relationships/hyperlink" Target="https://repository.daemen.edu/works/publication-article/8esdw-e6f37" TargetMode="External"/><Relationship Id="rId47" Type="http://schemas.openxmlformats.org/officeDocument/2006/relationships/hyperlink" Target="https://cpb-us-w2.wpmucdn.com/edblogs.columbia.edu/dist/d/730/files/2015/05/TestReview_CELF-4-Spanish_1.8.14-1z5jjx9.pdf" TargetMode="External"/><Relationship Id="rId48" Type="http://schemas.openxmlformats.org/officeDocument/2006/relationships/hyperlink" Target="https://www.pearsonclinical.es/content/dam/school/global/clinical/clinical-es/whitepapers/Folleto-CELF-5-Spain-WEB.pdf" TargetMode="External"/><Relationship Id="rId49" Type="http://schemas.openxmlformats.org/officeDocument/2006/relationships/hyperlink" Target="https://www.pearsonassessments.com/content/dam/school/global/clinical/us/assets/celf-preschool-3/celf-p3-technical-summary.pdf" TargetMode="External"/><Relationship Id="rId50" Type="http://schemas.openxmlformats.org/officeDocument/2006/relationships/hyperlink" Target="https://tillstest.com/wp-content/uploads/2021/04/TILLS-Technical-Chapter-excerpt.pdf" TargetMode="External"/><Relationship Id="rId51" Type="http://schemas.openxmlformats.org/officeDocument/2006/relationships/hyperlink" Target="https://tillstest.com/faqs/" TargetMode="External"/><Relationship Id="rId52" Type="http://schemas.openxmlformats.org/officeDocument/2006/relationships/hyperlink" Target="https://ecom-cdn.wpspublish.com/prod/media/wysiwyg/casl-2_sensitivity_specificity_1.pdf" TargetMode="External"/><Relationship Id="rId53" Type="http://schemas.openxmlformats.org/officeDocument/2006/relationships/hyperlink" Target="https://pages.wpspublish.com/hubfs/Webinar%20PPT%20Slides/Oral%20Language%20PPT%20handout%20073024.pdf" TargetMode="External"/><Relationship Id="rId54" Type="http://schemas.openxmlformats.org/officeDocument/2006/relationships/hyperlink" Target="https://brookespublishing.com/wp-content/uploads/2021/06/TILLS-How-to-get-the-most-out-of-TILLS-webinar-QA-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English assessment comparison manual</dc:title>
  <dc:subject>Named tools, population fit and diagnostic accuracy you can trace to a source</dc:subject>
  <dc:creator>BEaR Lab</dc:creator>
  <cp:keywords/>
  <dc:description/>
  <cp:lastModifiedBy/>
  <cp:revision>1</cp:revision>
  <dcterms:created xsi:type="dcterms:W3CDTF">2013-12-23T23:15:00Z</dcterms:created>
  <dcterms:modified xsi:type="dcterms:W3CDTF">2013-12-23T23:15:00Z</dcterms:modified>
  <cp:category/>
</cp:coreProperties>
</file>